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ind w:left="3"/>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35.240.99</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L 67</w:t>
            </w:r>
            <w:r>
              <w:rPr>
                <w:rFonts w:ascii="黑体" w:hAnsi="黑体" w:eastAsia="黑体"/>
                <w:sz w:val="21"/>
                <w:szCs w:val="21"/>
              </w:rPr>
              <w:fldChar w:fldCharType="end"/>
            </w:r>
            <w:bookmarkEnd w:id="1"/>
          </w:p>
        </w:tc>
      </w:tr>
    </w:tbl>
    <w:tbl>
      <w:tblPr>
        <w:tblStyle w:val="28"/>
        <w:tblpPr w:leftFromText="181" w:rightFromText="181" w:horzAnchor="margin" w:tblpX="3857" w:tblpY="56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990"/>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128" w:hRule="atLeast"/>
        </w:trPr>
        <w:tc>
          <w:tcPr>
            <w:tcW w:w="4990" w:type="dxa"/>
          </w:tcPr>
          <w:p>
            <w:pPr>
              <w:pStyle w:val="51"/>
              <w:framePr w:w="0" w:hRule="auto" w:wrap="auto" w:vAnchor="margin" w:hAnchor="text" w:xAlign="left" w:yAlign="inline"/>
              <w:ind w:firstLine="420"/>
            </w:pPr>
            <w:bookmarkStart w:id="2" w:name="_Hlk26473981"/>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TY</w:t>
            </w:r>
            <w:r>
              <w:fldChar w:fldCharType="end"/>
            </w:r>
            <w:bookmarkEnd w:id="3"/>
          </w:p>
        </w:tc>
      </w:tr>
    </w:tbl>
    <w:p>
      <w:pPr>
        <w:pStyle w:val="52"/>
        <w:framePr w:w="9639" w:h="624" w:hRule="exact" w:hSpace="181" w:vSpace="181" w:hAnchor="page" w:x="1305" w:y="2269"/>
        <w:rPr>
          <w:rFonts w:hint="eastAsia" w:ascii="黑体" w:hAnsi="黑体" w:eastAsia="黑体"/>
          <w:b w:val="0"/>
          <w:bCs w:val="0"/>
          <w:w w:val="100"/>
          <w:sz w:val="48"/>
          <w:szCs w:val="48"/>
        </w:rPr>
      </w:pPr>
      <w:r>
        <w:rPr>
          <w:rFonts w:hint="eastAsia" w:ascii="黑体" w:hAnsi="黑体" w:eastAsia="黑体"/>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fldChar w:fldCharType="separate"/>
      </w:r>
      <w:r>
        <w:rPr>
          <w:rFonts w:hint="eastAsia" w:ascii="黑体" w:eastAsia="黑体"/>
          <w:b w:val="0"/>
          <w:bCs w:val="0"/>
          <w:w w:val="100"/>
          <w:sz w:val="48"/>
        </w:rPr>
        <w:t>体育</w:t>
      </w:r>
      <w:r>
        <w:rPr>
          <w:rFonts w:ascii="黑体" w:eastAsia="黑体"/>
          <w:b w:val="0"/>
          <w:bCs w:val="0"/>
          <w:w w:val="100"/>
          <w:sz w:val="48"/>
        </w:rPr>
        <w:fldChar w:fldCharType="end"/>
      </w:r>
      <w:bookmarkEnd w:id="4"/>
      <w:r>
        <w:rPr>
          <w:rFonts w:hint="eastAsia" w:ascii="黑体" w:hAnsi="黑体" w:eastAsia="黑体"/>
          <w:b w:val="0"/>
          <w:bCs w:val="0"/>
          <w:w w:val="100"/>
          <w:sz w:val="48"/>
          <w:szCs w:val="48"/>
        </w:rPr>
        <w:t>行业标准</w:t>
      </w:r>
    </w:p>
    <w:bookmarkEnd w:id="2"/>
    <w:p>
      <w:pPr>
        <w:pStyle w:val="197"/>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TY</w:t>
      </w:r>
      <w:r>
        <w:rPr>
          <w:lang w:val="fr-FR"/>
        </w:rPr>
        <w:t>/T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8"/>
        <w:rPr>
          <w:rFonts w:hint="eastAsia" w:hAnsi="黑体"/>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lang w:val="fr-FR"/>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2"/>
        <w:framePr w:w="9639" w:h="6976" w:hRule="exact" w:hSpace="0" w:vSpace="0" w:hAnchor="page" w:y="6408"/>
        <w:jc w:val="center"/>
        <w:rPr>
          <w:rFonts w:hint="eastAsia" w:ascii="黑体" w:hAnsi="黑体" w:eastAsia="黑体"/>
          <w:b w:val="0"/>
          <w:bCs w:val="0"/>
          <w:w w:val="100"/>
          <w:lang w:val="fr-FR"/>
        </w:rPr>
      </w:pPr>
    </w:p>
    <w:p>
      <w:pPr>
        <w:pStyle w:val="19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全民健身</w:t>
      </w:r>
      <w:r>
        <w:t>运动码</w:t>
      </w:r>
      <w:r>
        <w:rPr>
          <w:rFonts w:hint="eastAsia"/>
        </w:rPr>
        <w:t xml:space="preserve"> 参考模型</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C</w:t>
      </w:r>
      <w:r>
        <w:rPr>
          <w:rFonts w:eastAsia="黑体"/>
          <w:szCs w:val="28"/>
        </w:rPr>
        <w:t>ode for national</w:t>
      </w:r>
      <w:r>
        <w:rPr>
          <w:rFonts w:hint="eastAsia" w:eastAsia="黑体"/>
          <w:szCs w:val="28"/>
        </w:rPr>
        <w:t xml:space="preserve"> fitness-Reference model</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11"/>
    </w:p>
    <w:p>
      <w:pPr>
        <w:pStyle w:val="127"/>
        <w:framePr w:w="9639" w:h="6974" w:hRule="exact" w:wrap="around" w:vAnchor="page" w:hAnchor="page" w:x="1419" w:y="6408" w:anchorLock="1"/>
        <w:spacing w:before="440" w:after="160"/>
        <w:textAlignment w:val="bottom"/>
        <w:rPr>
          <w:sz w:val="24"/>
          <w:szCs w:val="28"/>
        </w:rPr>
      </w:pPr>
      <w:bookmarkStart w:id="12" w:name="下拉1"/>
      <w:r>
        <w:rPr>
          <w:rFonts w:ascii="Times New Roman" w:hAnsi="Times New Roman" w:eastAsia="宋体" w:cs="Times New Roman"/>
          <w:sz w:val="24"/>
          <w:szCs w:val="28"/>
          <w:lang w:val="en-US" w:eastAsia="zh-CN" w:bidi="ar-SA"/>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12"/>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rFonts w:hint="eastAsia"/>
          <w:sz w:val="21"/>
          <w:szCs w:val="28"/>
        </w:rPr>
        <w:t>（本</w:t>
      </w:r>
      <w:r>
        <w:rPr>
          <w:rFonts w:hint="eastAsia"/>
          <w:sz w:val="21"/>
          <w:szCs w:val="28"/>
          <w:lang w:eastAsia="zh-CN"/>
        </w:rPr>
        <w:t>稿</w:t>
      </w:r>
      <w:bookmarkStart w:id="147" w:name="_GoBack"/>
      <w:bookmarkEnd w:id="147"/>
      <w:r>
        <w:rPr>
          <w:rFonts w:hint="eastAsia"/>
          <w:sz w:val="21"/>
          <w:szCs w:val="28"/>
        </w:rPr>
        <w:t>完成时间：2025年5月）</w:t>
      </w:r>
      <w:r>
        <w:rPr>
          <w:sz w:val="21"/>
          <w:szCs w:val="28"/>
        </w:rPr>
        <w:fldChar w:fldCharType="end"/>
      </w:r>
      <w:bookmarkEnd w:id="13"/>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pPr>
        <w:pStyle w:val="195"/>
        <w:framePr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pPr>
        <w:pStyle w:val="196"/>
        <w:framePr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pPr>
        <w:pStyle w:val="153"/>
        <w:framePr w:h="584" w:hRule="exact" w:hSpace="181" w:vSpace="181" w:y="14800"/>
        <w:rPr>
          <w:rFonts w:hint="eastAsia"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国家体育总局</w:t>
      </w:r>
      <w:r>
        <w:rPr>
          <w:rFonts w:hAnsi="黑体"/>
          <w:w w:val="100"/>
          <w:sz w:val="28"/>
        </w:rPr>
        <w:fldChar w:fldCharType="end"/>
      </w:r>
      <w:bookmarkEnd w:id="21"/>
      <w:r>
        <w:rPr>
          <w:rFonts w:ascii="Times New Roman"/>
          <w:w w:val="100"/>
          <w:sz w:val="28"/>
          <w:szCs w:val="28"/>
        </w:rPr>
        <w:t>  </w:t>
      </w:r>
      <w:r>
        <w:rPr>
          <w:rStyle w:val="231"/>
          <w:rFonts w:hint="eastAsia" w:hAnsi="黑体"/>
          <w:position w:val="0"/>
        </w:rPr>
        <w:t>发</w:t>
      </w:r>
      <w:r>
        <w:rPr>
          <w:rStyle w:val="231"/>
          <w:rFonts w:hint="eastAsia" w:hAnsi="黑体"/>
          <w:spacing w:val="0"/>
          <w:position w:val="0"/>
        </w:rPr>
        <w:t>布</w:t>
      </w:r>
    </w:p>
    <w:p>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021"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3"/>
        <w:spacing w:after="360"/>
      </w:pPr>
      <w:bookmarkStart w:id="22" w:name="BookMark1"/>
      <w:bookmarkStart w:id="23" w:name="_Toc130976307"/>
      <w:bookmarkStart w:id="24" w:name="_Toc144797279"/>
      <w:bookmarkStart w:id="25" w:name="_Toc131168478"/>
      <w:r>
        <w:rPr>
          <w:rFonts w:hint="eastAsia"/>
          <w:spacing w:val="320"/>
        </w:rPr>
        <w:t>目</w:t>
      </w:r>
      <w:r>
        <w:rPr>
          <w:rFonts w:hint="eastAsia"/>
        </w:rPr>
        <w:t>次</w:t>
      </w:r>
    </w:p>
    <w:p>
      <w:pPr>
        <w:pStyle w:val="20"/>
        <w:tabs>
          <w:tab w:val="right" w:leader="dot" w:pos="9354"/>
        </w:tabs>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"_Toc12047" </w:instrText>
      </w:r>
      <w:r>
        <w:fldChar w:fldCharType="separate"/>
      </w:r>
      <w:r>
        <w:t>前言</w:t>
      </w:r>
      <w:r>
        <w:tab/>
      </w:r>
      <w:r>
        <w:fldChar w:fldCharType="begin"/>
      </w:r>
      <w:r>
        <w:instrText xml:space="preserve"> PAGEREF _Toc12047 \h </w:instrText>
      </w:r>
      <w:r>
        <w:fldChar w:fldCharType="separate"/>
      </w:r>
      <w:r>
        <w:t>II</w:t>
      </w:r>
      <w:r>
        <w:fldChar w:fldCharType="end"/>
      </w:r>
      <w:r>
        <w:fldChar w:fldCharType="end"/>
      </w:r>
    </w:p>
    <w:p>
      <w:pPr>
        <w:pStyle w:val="20"/>
        <w:tabs>
          <w:tab w:val="right" w:leader="dot" w:pos="9354"/>
        </w:tabs>
      </w:pPr>
      <w:r>
        <w:fldChar w:fldCharType="begin"/>
      </w:r>
      <w:r>
        <w:instrText xml:space="preserve"> HYPERLINK \l "_Toc5046" </w:instrText>
      </w:r>
      <w:r>
        <w:fldChar w:fldCharType="separate"/>
      </w:r>
      <w:r>
        <w:rPr>
          <w:rFonts w:hint="eastAsia" w:ascii="黑体" w:eastAsia="黑体"/>
        </w:rPr>
        <w:t xml:space="preserve">1 </w:t>
      </w:r>
      <w:r>
        <w:rPr>
          <w:rFonts w:hint="eastAsia"/>
        </w:rPr>
        <w:t>范围</w:t>
      </w:r>
      <w:r>
        <w:tab/>
      </w:r>
      <w:r>
        <w:fldChar w:fldCharType="begin"/>
      </w:r>
      <w:r>
        <w:instrText xml:space="preserve"> PAGEREF _Toc5046 \h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"_Toc13632"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_Toc13632 \h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"_Toc31823"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_Toc31823 \h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"_Toc5515" </w:instrText>
      </w:r>
      <w:r>
        <w:fldChar w:fldCharType="separate"/>
      </w:r>
      <w:r>
        <w:rPr>
          <w:rFonts w:hint="eastAsia" w:ascii="黑体" w:eastAsia="黑体"/>
        </w:rPr>
        <w:t xml:space="preserve">4 </w:t>
      </w:r>
      <w:r>
        <w:t>运动码的组成</w:t>
      </w:r>
      <w:r>
        <w:tab/>
      </w:r>
      <w:r>
        <w:fldChar w:fldCharType="begin"/>
      </w:r>
      <w:r>
        <w:instrText xml:space="preserve"> PAGEREF _Toc5515 \h </w:instrText>
      </w:r>
      <w:r>
        <w:fldChar w:fldCharType="separate"/>
      </w:r>
      <w:r>
        <w:t>1</w:t>
      </w:r>
      <w:r>
        <w:fldChar w:fldCharType="end"/>
      </w:r>
      <w:r>
        <w:fldChar w:fldCharType="end"/>
      </w:r>
    </w:p>
    <w:p>
      <w:pPr>
        <w:pStyle w:val="25"/>
        <w:tabs>
          <w:tab w:val="right" w:leader="dot" w:pos="9354"/>
          <w:tab w:val="clear" w:pos="9344"/>
        </w:tabs>
      </w:pPr>
      <w:r>
        <w:fldChar w:fldCharType="begin"/>
      </w:r>
      <w:r>
        <w:instrText xml:space="preserve"> HYPERLINK \l "_Toc27216" </w:instrText>
      </w:r>
      <w:r>
        <w:fldChar w:fldCharType="separate"/>
      </w:r>
      <w:r>
        <w:rPr>
          <w:rFonts w:hint="eastAsia" w:ascii="黑体" w:hAnsi="Times New Roman" w:eastAsia="黑体"/>
          <w:kern w:val="0"/>
          <w14:scene3d>
            <w14:lightRig w14:rig="threePt" w14:dir="t">
              <w14:rot w14:lat="0" w14:lon="0" w14:rev="0"/>
            </w14:lightRig>
          </w14:scene3d>
        </w:rPr>
        <w:t xml:space="preserve">4.1 </w:t>
      </w:r>
      <w:r>
        <w:rPr>
          <w:rFonts w:hint="eastAsia"/>
        </w:rPr>
        <w:t>运动码的结构</w:t>
      </w:r>
      <w:r>
        <w:tab/>
      </w:r>
      <w:r>
        <w:fldChar w:fldCharType="begin"/>
      </w:r>
      <w:r>
        <w:instrText xml:space="preserve"> PAGEREF _Toc27216 \h </w:instrText>
      </w:r>
      <w:r>
        <w:fldChar w:fldCharType="separate"/>
      </w:r>
      <w:r>
        <w:t>1</w:t>
      </w:r>
      <w:r>
        <w:fldChar w:fldCharType="end"/>
      </w:r>
      <w:r>
        <w:fldChar w:fldCharType="end"/>
      </w:r>
    </w:p>
    <w:p>
      <w:pPr>
        <w:pStyle w:val="25"/>
        <w:tabs>
          <w:tab w:val="right" w:leader="dot" w:pos="9354"/>
          <w:tab w:val="clear" w:pos="9344"/>
        </w:tabs>
      </w:pPr>
      <w:r>
        <w:fldChar w:fldCharType="begin"/>
      </w:r>
      <w:r>
        <w:instrText xml:space="preserve"> HYPERLINK \l "_Toc1922" </w:instrText>
      </w:r>
      <w:r>
        <w:fldChar w:fldCharType="separate"/>
      </w:r>
      <w:r>
        <w:rPr>
          <w:rFonts w:hint="eastAsia" w:ascii="黑体" w:hAnsi="Times New Roman" w:eastAsia="黑体"/>
          <w:kern w:val="0"/>
          <w14:scene3d>
            <w14:lightRig w14:rig="threePt" w14:dir="t">
              <w14:rot w14:lat="0" w14:lon="0" w14:rev="0"/>
            </w14:lightRig>
          </w14:scene3d>
        </w:rPr>
        <w:t xml:space="preserve">4.2 </w:t>
      </w:r>
      <w:r>
        <w:rPr>
          <w:rFonts w:hint="eastAsia"/>
        </w:rPr>
        <w:t>路由段（R段）</w:t>
      </w:r>
      <w:r>
        <w:tab/>
      </w:r>
      <w:r>
        <w:fldChar w:fldCharType="begin"/>
      </w:r>
      <w:r>
        <w:instrText xml:space="preserve"> PAGEREF _Toc1922 \h </w:instrText>
      </w:r>
      <w:r>
        <w:fldChar w:fldCharType="separate"/>
      </w:r>
      <w:r>
        <w:t>2</w:t>
      </w:r>
      <w:r>
        <w:fldChar w:fldCharType="end"/>
      </w:r>
      <w:r>
        <w:fldChar w:fldCharType="end"/>
      </w:r>
    </w:p>
    <w:p>
      <w:pPr>
        <w:pStyle w:val="25"/>
        <w:tabs>
          <w:tab w:val="right" w:leader="dot" w:pos="9354"/>
          <w:tab w:val="clear" w:pos="9344"/>
        </w:tabs>
      </w:pPr>
      <w:r>
        <w:fldChar w:fldCharType="begin"/>
      </w:r>
      <w:r>
        <w:instrText xml:space="preserve"> HYPERLINK \l "_Toc9883" </w:instrText>
      </w:r>
      <w:r>
        <w:fldChar w:fldCharType="separate"/>
      </w:r>
      <w:r>
        <w:rPr>
          <w:rFonts w:hint="eastAsia" w:ascii="黑体" w:hAnsi="Times New Roman" w:eastAsia="黑体"/>
          <w:kern w:val="0"/>
          <w14:scene3d>
            <w14:lightRig w14:rig="threePt" w14:dir="t">
              <w14:rot w14:lat="0" w14:lon="0" w14:rev="0"/>
            </w14:lightRig>
          </w14:scene3d>
        </w:rPr>
        <w:t xml:space="preserve">4.3 </w:t>
      </w:r>
      <w:r>
        <w:rPr>
          <w:rFonts w:hint="eastAsia"/>
        </w:rPr>
        <w:t>身份段（A段）</w:t>
      </w:r>
      <w:r>
        <w:tab/>
      </w:r>
      <w:r>
        <w:fldChar w:fldCharType="begin"/>
      </w:r>
      <w:r>
        <w:instrText xml:space="preserve"> PAGEREF _Toc9883 \h </w:instrText>
      </w:r>
      <w:r>
        <w:fldChar w:fldCharType="separate"/>
      </w:r>
      <w:r>
        <w:t>2</w:t>
      </w:r>
      <w:r>
        <w:fldChar w:fldCharType="end"/>
      </w:r>
      <w:r>
        <w:fldChar w:fldCharType="end"/>
      </w:r>
    </w:p>
    <w:p>
      <w:pPr>
        <w:pStyle w:val="25"/>
        <w:tabs>
          <w:tab w:val="right" w:leader="dot" w:pos="9354"/>
          <w:tab w:val="clear" w:pos="9344"/>
        </w:tabs>
      </w:pPr>
      <w:r>
        <w:fldChar w:fldCharType="begin"/>
      </w:r>
      <w:r>
        <w:instrText xml:space="preserve"> HYPERLINK \l "_Toc18869" </w:instrText>
      </w:r>
      <w:r>
        <w:fldChar w:fldCharType="separate"/>
      </w:r>
      <w:r>
        <w:rPr>
          <w:rFonts w:hint="eastAsia" w:ascii="黑体" w:hAnsi="Times New Roman" w:eastAsia="黑体"/>
          <w:kern w:val="0"/>
          <w14:scene3d>
            <w14:lightRig w14:rig="threePt" w14:dir="t">
              <w14:rot w14:lat="0" w14:lon="0" w14:rev="0"/>
            </w14:lightRig>
          </w14:scene3d>
        </w:rPr>
        <w:t xml:space="preserve">4.4 </w:t>
      </w:r>
      <w:r>
        <w:rPr>
          <w:rFonts w:hint="eastAsia"/>
        </w:rPr>
        <w:t>业务段（B段）</w:t>
      </w:r>
      <w:r>
        <w:tab/>
      </w:r>
      <w:r>
        <w:fldChar w:fldCharType="begin"/>
      </w:r>
      <w:r>
        <w:instrText xml:space="preserve"> PAGEREF _Toc18869 \h </w:instrText>
      </w:r>
      <w:r>
        <w:fldChar w:fldCharType="separate"/>
      </w:r>
      <w:r>
        <w:t>2</w:t>
      </w:r>
      <w:r>
        <w:fldChar w:fldCharType="end"/>
      </w:r>
      <w:r>
        <w:fldChar w:fldCharType="end"/>
      </w:r>
    </w:p>
    <w:p>
      <w:pPr>
        <w:pStyle w:val="25"/>
        <w:tabs>
          <w:tab w:val="right" w:leader="dot" w:pos="9354"/>
          <w:tab w:val="clear" w:pos="9344"/>
        </w:tabs>
      </w:pPr>
      <w:r>
        <w:fldChar w:fldCharType="begin"/>
      </w:r>
      <w:r>
        <w:instrText xml:space="preserve"> HYPERLINK \l "_Toc29161" </w:instrText>
      </w:r>
      <w:r>
        <w:fldChar w:fldCharType="separate"/>
      </w:r>
      <w:r>
        <w:rPr>
          <w:rFonts w:hint="eastAsia" w:ascii="黑体" w:hAnsi="Times New Roman" w:eastAsia="黑体"/>
          <w:kern w:val="0"/>
          <w14:scene3d>
            <w14:lightRig w14:rig="threePt" w14:dir="t">
              <w14:rot w14:lat="0" w14:lon="0" w14:rev="0"/>
            </w14:lightRig>
          </w14:scene3d>
        </w:rPr>
        <w:t xml:space="preserve">4.5 </w:t>
      </w:r>
      <w:r>
        <w:rPr>
          <w:rFonts w:hint="eastAsia"/>
        </w:rPr>
        <w:t>校验段（S段）</w:t>
      </w:r>
      <w:r>
        <w:tab/>
      </w:r>
      <w:r>
        <w:fldChar w:fldCharType="begin"/>
      </w:r>
      <w:r>
        <w:instrText xml:space="preserve"> PAGEREF _Toc29161 \h </w:instrText>
      </w:r>
      <w:r>
        <w:fldChar w:fldCharType="separate"/>
      </w:r>
      <w:r>
        <w:t>2</w:t>
      </w:r>
      <w:r>
        <w:fldChar w:fldCharType="end"/>
      </w:r>
      <w:r>
        <w:fldChar w:fldCharType="end"/>
      </w:r>
    </w:p>
    <w:p>
      <w:pPr>
        <w:pStyle w:val="20"/>
        <w:tabs>
          <w:tab w:val="right" w:leader="dot" w:pos="9354"/>
        </w:tabs>
      </w:pPr>
      <w:r>
        <w:fldChar w:fldCharType="begin"/>
      </w:r>
      <w:r>
        <w:instrText xml:space="preserve"> HYPERLINK \l "_Toc19640" </w:instrText>
      </w:r>
      <w:r>
        <w:fldChar w:fldCharType="separate"/>
      </w:r>
      <w:r>
        <w:rPr>
          <w:rFonts w:hint="eastAsia" w:ascii="黑体" w:eastAsia="黑体"/>
        </w:rPr>
        <w:t xml:space="preserve">5 </w:t>
      </w:r>
      <w:r>
        <w:t>码制和展现形式</w:t>
      </w:r>
      <w:r>
        <w:tab/>
      </w:r>
      <w:r>
        <w:fldChar w:fldCharType="begin"/>
      </w:r>
      <w:r>
        <w:instrText xml:space="preserve"> PAGEREF _Toc19640 \h </w:instrText>
      </w:r>
      <w:r>
        <w:fldChar w:fldCharType="separate"/>
      </w:r>
      <w:r>
        <w:t>3</w:t>
      </w:r>
      <w:r>
        <w:fldChar w:fldCharType="end"/>
      </w:r>
      <w:r>
        <w:fldChar w:fldCharType="end"/>
      </w:r>
    </w:p>
    <w:p>
      <w:pPr>
        <w:pStyle w:val="20"/>
        <w:tabs>
          <w:tab w:val="right" w:leader="dot" w:pos="9354"/>
        </w:tabs>
      </w:pPr>
      <w:r>
        <w:fldChar w:fldCharType="begin"/>
      </w:r>
      <w:r>
        <w:instrText xml:space="preserve"> HYPERLINK \l "_Toc27190" </w:instrText>
      </w:r>
      <w:r>
        <w:fldChar w:fldCharType="separate"/>
      </w:r>
      <w:r>
        <w:rPr>
          <w:rFonts w:hint="eastAsia" w:ascii="黑体" w:eastAsia="黑体"/>
        </w:rPr>
        <w:t xml:space="preserve">6 </w:t>
      </w:r>
      <w:r>
        <w:t>运动码应用</w:t>
      </w:r>
      <w:r>
        <w:rPr>
          <w:rFonts w:hint="eastAsia"/>
        </w:rPr>
        <w:t>流程</w:t>
      </w:r>
      <w:r>
        <w:tab/>
      </w:r>
      <w:r>
        <w:fldChar w:fldCharType="begin"/>
      </w:r>
      <w:r>
        <w:instrText xml:space="preserve"> PAGEREF _Toc27190 \h </w:instrText>
      </w:r>
      <w:r>
        <w:fldChar w:fldCharType="separate"/>
      </w:r>
      <w:r>
        <w:t>3</w:t>
      </w:r>
      <w:r>
        <w:fldChar w:fldCharType="end"/>
      </w:r>
      <w:r>
        <w:fldChar w:fldCharType="end"/>
      </w:r>
    </w:p>
    <w:p>
      <w:pPr>
        <w:pStyle w:val="25"/>
        <w:tabs>
          <w:tab w:val="right" w:leader="dot" w:pos="9354"/>
          <w:tab w:val="clear" w:pos="9344"/>
        </w:tabs>
      </w:pPr>
      <w:r>
        <w:fldChar w:fldCharType="begin"/>
      </w:r>
      <w:r>
        <w:instrText xml:space="preserve"> HYPERLINK \l "_Toc20330" </w:instrText>
      </w:r>
      <w:r>
        <w:fldChar w:fldCharType="separate"/>
      </w:r>
      <w:r>
        <w:rPr>
          <w:rFonts w:hint="eastAsia" w:ascii="黑体" w:hAnsi="Times New Roman" w:eastAsia="黑体"/>
          <w:kern w:val="0"/>
          <w14:scene3d>
            <w14:lightRig w14:rig="threePt" w14:dir="t">
              <w14:rot w14:lat="0" w14:lon="0" w14:rev="0"/>
            </w14:lightRig>
          </w14:scene3d>
        </w:rPr>
        <w:t xml:space="preserve">6.1 </w:t>
      </w:r>
      <w:r>
        <w:rPr>
          <w:rFonts w:hint="eastAsia"/>
        </w:rPr>
        <w:t>系统组成</w:t>
      </w:r>
      <w:r>
        <w:tab/>
      </w:r>
      <w:r>
        <w:fldChar w:fldCharType="begin"/>
      </w:r>
      <w:r>
        <w:instrText xml:space="preserve"> PAGEREF _Toc20330 \h </w:instrText>
      </w:r>
      <w:r>
        <w:fldChar w:fldCharType="separate"/>
      </w:r>
      <w:r>
        <w:t>3</w:t>
      </w:r>
      <w:r>
        <w:fldChar w:fldCharType="end"/>
      </w:r>
      <w:r>
        <w:fldChar w:fldCharType="end"/>
      </w:r>
    </w:p>
    <w:p>
      <w:pPr>
        <w:pStyle w:val="25"/>
        <w:tabs>
          <w:tab w:val="right" w:leader="dot" w:pos="9354"/>
          <w:tab w:val="clear" w:pos="9344"/>
        </w:tabs>
      </w:pPr>
      <w:r>
        <w:fldChar w:fldCharType="begin"/>
      </w:r>
      <w:r>
        <w:instrText xml:space="preserve"> HYPERLINK \l "_Toc20595" </w:instrText>
      </w:r>
      <w:r>
        <w:fldChar w:fldCharType="separate"/>
      </w:r>
      <w:r>
        <w:rPr>
          <w:rFonts w:hint="eastAsia" w:ascii="黑体" w:hAnsi="Times New Roman" w:eastAsia="黑体"/>
          <w:kern w:val="0"/>
          <w14:scene3d>
            <w14:lightRig w14:rig="threePt" w14:dir="t">
              <w14:rot w14:lat="0" w14:lon="0" w14:rev="0"/>
            </w14:lightRig>
          </w14:scene3d>
        </w:rPr>
        <w:t xml:space="preserve">6.2 </w:t>
      </w:r>
      <w:r>
        <w:rPr>
          <w:rFonts w:hint="eastAsia"/>
        </w:rPr>
        <w:t>使用流程</w:t>
      </w:r>
      <w:r>
        <w:tab/>
      </w:r>
      <w:r>
        <w:fldChar w:fldCharType="begin"/>
      </w:r>
      <w:r>
        <w:instrText xml:space="preserve"> PAGEREF _Toc20595 \h </w:instrText>
      </w:r>
      <w:r>
        <w:fldChar w:fldCharType="separate"/>
      </w:r>
      <w:r>
        <w:t>3</w:t>
      </w:r>
      <w:r>
        <w:fldChar w:fldCharType="end"/>
      </w:r>
      <w:r>
        <w:fldChar w:fldCharType="end"/>
      </w:r>
    </w:p>
    <w:p>
      <w:pPr>
        <w:pStyle w:val="25"/>
        <w:tabs>
          <w:tab w:val="right" w:leader="dot" w:pos="9354"/>
          <w:tab w:val="clear" w:pos="9344"/>
        </w:tabs>
      </w:pPr>
      <w:r>
        <w:fldChar w:fldCharType="begin"/>
      </w:r>
      <w:r>
        <w:instrText xml:space="preserve"> HYPERLINK \l "_Toc15963" </w:instrText>
      </w:r>
      <w:r>
        <w:fldChar w:fldCharType="separate"/>
      </w:r>
      <w:r>
        <w:rPr>
          <w:rFonts w:hint="eastAsia" w:ascii="黑体" w:hAnsi="Times New Roman" w:eastAsia="黑体"/>
          <w:kern w:val="0"/>
          <w14:scene3d>
            <w14:lightRig w14:rig="threePt" w14:dir="t">
              <w14:rot w14:lat="0" w14:lon="0" w14:rev="0"/>
            </w14:lightRig>
          </w14:scene3d>
        </w:rPr>
        <w:t xml:space="preserve">6.3 </w:t>
      </w:r>
      <w:r>
        <w:rPr>
          <w:rFonts w:hint="eastAsia"/>
        </w:rPr>
        <w:t>运动码互认</w:t>
      </w:r>
      <w:r>
        <w:tab/>
      </w:r>
      <w:r>
        <w:fldChar w:fldCharType="begin"/>
      </w:r>
      <w:r>
        <w:instrText xml:space="preserve"> PAGEREF _Toc15963 \h </w:instrText>
      </w:r>
      <w:r>
        <w:fldChar w:fldCharType="separate"/>
      </w:r>
      <w:r>
        <w:t>3</w:t>
      </w:r>
      <w:r>
        <w:fldChar w:fldCharType="end"/>
      </w:r>
      <w:r>
        <w:fldChar w:fldCharType="end"/>
      </w:r>
    </w:p>
    <w:p>
      <w:pPr>
        <w:pStyle w:val="20"/>
        <w:tabs>
          <w:tab w:val="right" w:leader="dot" w:pos="9354"/>
        </w:tabs>
      </w:pPr>
      <w:r>
        <w:fldChar w:fldCharType="begin"/>
      </w:r>
      <w:r>
        <w:instrText xml:space="preserve"> HYPERLINK \l "_Toc22728" </w:instrText>
      </w:r>
      <w:r>
        <w:fldChar w:fldCharType="separate"/>
      </w:r>
      <w:r>
        <w:rPr>
          <w:rFonts w:hint="eastAsia" w:ascii="黑体" w:eastAsia="黑体"/>
        </w:rPr>
        <w:t xml:space="preserve">7 </w:t>
      </w:r>
      <w:r>
        <w:t>运动码应用要求</w:t>
      </w:r>
      <w:r>
        <w:tab/>
      </w:r>
      <w:r>
        <w:fldChar w:fldCharType="begin"/>
      </w:r>
      <w:r>
        <w:instrText xml:space="preserve"> PAGEREF _Toc22728 \h </w:instrText>
      </w:r>
      <w:r>
        <w:fldChar w:fldCharType="separate"/>
      </w:r>
      <w:r>
        <w:t>4</w:t>
      </w:r>
      <w:r>
        <w:fldChar w:fldCharType="end"/>
      </w:r>
      <w:r>
        <w:fldChar w:fldCharType="end"/>
      </w:r>
    </w:p>
    <w:p>
      <w:pPr>
        <w:pStyle w:val="25"/>
        <w:tabs>
          <w:tab w:val="right" w:leader="dot" w:pos="9354"/>
          <w:tab w:val="clear" w:pos="9344"/>
        </w:tabs>
      </w:pPr>
      <w:r>
        <w:fldChar w:fldCharType="begin"/>
      </w:r>
      <w:r>
        <w:instrText xml:space="preserve"> HYPERLINK \l "_Toc30597" </w:instrText>
      </w:r>
      <w:r>
        <w:fldChar w:fldCharType="separate"/>
      </w:r>
      <w:r>
        <w:rPr>
          <w:rFonts w:hint="eastAsia" w:ascii="黑体" w:hAnsi="Times New Roman" w:eastAsia="黑体"/>
          <w:kern w:val="0"/>
          <w14:scene3d>
            <w14:lightRig w14:rig="threePt" w14:dir="t">
              <w14:rot w14:lat="0" w14:lon="0" w14:rev="0"/>
            </w14:lightRig>
          </w14:scene3d>
        </w:rPr>
        <w:t xml:space="preserve">7.1 </w:t>
      </w:r>
      <w:r>
        <w:t>一般要求</w:t>
      </w:r>
      <w:r>
        <w:tab/>
      </w:r>
      <w:r>
        <w:fldChar w:fldCharType="begin"/>
      </w:r>
      <w:r>
        <w:instrText xml:space="preserve"> PAGEREF _Toc30597 \h </w:instrText>
      </w:r>
      <w:r>
        <w:fldChar w:fldCharType="separate"/>
      </w:r>
      <w:r>
        <w:t>4</w:t>
      </w:r>
      <w:r>
        <w:fldChar w:fldCharType="end"/>
      </w:r>
      <w:r>
        <w:fldChar w:fldCharType="end"/>
      </w:r>
    </w:p>
    <w:p>
      <w:pPr>
        <w:pStyle w:val="25"/>
        <w:tabs>
          <w:tab w:val="right" w:leader="dot" w:pos="9354"/>
          <w:tab w:val="clear" w:pos="9344"/>
        </w:tabs>
      </w:pPr>
      <w:r>
        <w:fldChar w:fldCharType="begin"/>
      </w:r>
      <w:r>
        <w:instrText xml:space="preserve"> HYPERLINK \l "_Toc16880" </w:instrText>
      </w:r>
      <w:r>
        <w:fldChar w:fldCharType="separate"/>
      </w:r>
      <w:r>
        <w:rPr>
          <w:rFonts w:hint="eastAsia" w:ascii="黑体" w:hAnsi="Times New Roman" w:eastAsia="黑体"/>
          <w:kern w:val="0"/>
          <w14:scene3d>
            <w14:lightRig w14:rig="threePt" w14:dir="t">
              <w14:rot w14:lat="0" w14:lon="0" w14:rev="0"/>
            </w14:lightRig>
          </w14:scene3d>
        </w:rPr>
        <w:t xml:space="preserve">7.2 </w:t>
      </w:r>
      <w:r>
        <w:t>身份认证要求</w:t>
      </w:r>
      <w:r>
        <w:tab/>
      </w:r>
      <w:r>
        <w:fldChar w:fldCharType="begin"/>
      </w:r>
      <w:r>
        <w:instrText xml:space="preserve"> PAGEREF _Toc16880 \h </w:instrText>
      </w:r>
      <w:r>
        <w:fldChar w:fldCharType="separate"/>
      </w:r>
      <w:r>
        <w:t>4</w:t>
      </w:r>
      <w:r>
        <w:fldChar w:fldCharType="end"/>
      </w:r>
      <w:r>
        <w:fldChar w:fldCharType="end"/>
      </w:r>
    </w:p>
    <w:p>
      <w:pPr>
        <w:pStyle w:val="25"/>
        <w:tabs>
          <w:tab w:val="right" w:leader="dot" w:pos="9354"/>
          <w:tab w:val="clear" w:pos="9344"/>
        </w:tabs>
      </w:pPr>
      <w:r>
        <w:fldChar w:fldCharType="begin"/>
      </w:r>
      <w:r>
        <w:instrText xml:space="preserve"> HYPERLINK \l "_Toc23736" </w:instrText>
      </w:r>
      <w:r>
        <w:fldChar w:fldCharType="separate"/>
      </w:r>
      <w:r>
        <w:rPr>
          <w:rFonts w:hint="eastAsia" w:ascii="黑体" w:hAnsi="Times New Roman" w:eastAsia="黑体"/>
          <w:kern w:val="0"/>
          <w14:scene3d>
            <w14:lightRig w14:rig="threePt" w14:dir="t">
              <w14:rot w14:lat="0" w14:lon="0" w14:rev="0"/>
            </w14:lightRig>
          </w14:scene3d>
        </w:rPr>
        <w:t xml:space="preserve">7.3 </w:t>
      </w:r>
      <w:r>
        <w:t>应用对接要求</w:t>
      </w:r>
      <w:r>
        <w:tab/>
      </w:r>
      <w:r>
        <w:fldChar w:fldCharType="begin"/>
      </w:r>
      <w:r>
        <w:instrText xml:space="preserve"> PAGEREF _Toc23736 \h </w:instrText>
      </w:r>
      <w:r>
        <w:fldChar w:fldCharType="separate"/>
      </w:r>
      <w:r>
        <w:t>4</w:t>
      </w:r>
      <w:r>
        <w:fldChar w:fldCharType="end"/>
      </w:r>
      <w:r>
        <w:fldChar w:fldCharType="end"/>
      </w:r>
    </w:p>
    <w:p>
      <w:pPr>
        <w:pStyle w:val="25"/>
        <w:tabs>
          <w:tab w:val="right" w:leader="dot" w:pos="9354"/>
          <w:tab w:val="clear" w:pos="9344"/>
        </w:tabs>
      </w:pPr>
      <w:r>
        <w:fldChar w:fldCharType="begin"/>
      </w:r>
      <w:r>
        <w:instrText xml:space="preserve"> HYPERLINK \l "_Toc5239" </w:instrText>
      </w:r>
      <w:r>
        <w:fldChar w:fldCharType="separate"/>
      </w:r>
      <w:r>
        <w:rPr>
          <w:rFonts w:hint="eastAsia" w:ascii="黑体" w:hAnsi="Times New Roman" w:eastAsia="黑体"/>
          <w:kern w:val="0"/>
          <w14:scene3d>
            <w14:lightRig w14:rig="threePt" w14:dir="t">
              <w14:rot w14:lat="0" w14:lon="0" w14:rev="0"/>
            </w14:lightRig>
          </w14:scene3d>
        </w:rPr>
        <w:t xml:space="preserve">7.4 </w:t>
      </w:r>
      <w:r>
        <w:t>信息保护要求</w:t>
      </w:r>
      <w:r>
        <w:tab/>
      </w:r>
      <w:r>
        <w:fldChar w:fldCharType="begin"/>
      </w:r>
      <w:r>
        <w:instrText xml:space="preserve"> PAGEREF _Toc5239 \h </w:instrText>
      </w:r>
      <w:r>
        <w:fldChar w:fldCharType="separate"/>
      </w:r>
      <w:r>
        <w:t>4</w:t>
      </w:r>
      <w:r>
        <w:fldChar w:fldCharType="end"/>
      </w:r>
      <w:r>
        <w:fldChar w:fldCharType="end"/>
      </w:r>
    </w:p>
    <w:p>
      <w:pPr>
        <w:pStyle w:val="25"/>
        <w:tabs>
          <w:tab w:val="right" w:leader="dot" w:pos="9354"/>
          <w:tab w:val="clear" w:pos="9344"/>
        </w:tabs>
      </w:pPr>
      <w:r>
        <w:fldChar w:fldCharType="begin"/>
      </w:r>
      <w:r>
        <w:instrText xml:space="preserve"> HYPERLINK \l "_Toc12897" </w:instrText>
      </w:r>
      <w:r>
        <w:fldChar w:fldCharType="separate"/>
      </w:r>
      <w:r>
        <w:rPr>
          <w:rFonts w:hint="eastAsia" w:ascii="黑体" w:hAnsi="Times New Roman" w:eastAsia="黑体"/>
          <w:kern w:val="0"/>
          <w14:scene3d>
            <w14:lightRig w14:rig="threePt" w14:dir="t">
              <w14:rot w14:lat="0" w14:lon="0" w14:rev="0"/>
            </w14:lightRig>
          </w14:scene3d>
        </w:rPr>
        <w:t xml:space="preserve">7.5 </w:t>
      </w:r>
      <w:r>
        <w:t>安全要求</w:t>
      </w:r>
      <w:r>
        <w:tab/>
      </w:r>
      <w:r>
        <w:fldChar w:fldCharType="begin"/>
      </w:r>
      <w:r>
        <w:instrText xml:space="preserve"> PAGEREF _Toc12897 \h </w:instrText>
      </w:r>
      <w:r>
        <w:fldChar w:fldCharType="separate"/>
      </w:r>
      <w:r>
        <w:t>4</w:t>
      </w:r>
      <w:r>
        <w:fldChar w:fldCharType="end"/>
      </w:r>
      <w:r>
        <w:fldChar w:fldCharType="end"/>
      </w:r>
    </w:p>
    <w:p>
      <w:pPr>
        <w:pStyle w:val="20"/>
        <w:tabs>
          <w:tab w:val="right" w:leader="dot" w:pos="9354"/>
        </w:tabs>
      </w:pPr>
      <w:r>
        <w:fldChar w:fldCharType="begin"/>
      </w:r>
      <w:r>
        <w:instrText xml:space="preserve"> HYPERLINK \l "_Toc12514" </w:instrText>
      </w:r>
      <w:r>
        <w:fldChar w:fldCharType="separate"/>
      </w:r>
      <w:r>
        <w:rPr>
          <w:rFonts w:hint="eastAsia"/>
        </w:rPr>
        <w:t>附录A（规范性）生码源平台代码编码规则</w:t>
      </w:r>
      <w:r>
        <w:tab/>
      </w:r>
      <w:r>
        <w:fldChar w:fldCharType="begin"/>
      </w:r>
      <w:r>
        <w:instrText xml:space="preserve"> PAGEREF _Toc12514 \h </w:instrText>
      </w:r>
      <w:r>
        <w:fldChar w:fldCharType="separate"/>
      </w:r>
      <w:r>
        <w:t>6</w:t>
      </w:r>
      <w:r>
        <w:fldChar w:fldCharType="end"/>
      </w:r>
      <w:r>
        <w:fldChar w:fldCharType="end"/>
      </w:r>
    </w:p>
    <w:p>
      <w:pPr>
        <w:pStyle w:val="20"/>
        <w:tabs>
          <w:tab w:val="right" w:leader="dot" w:pos="9354"/>
        </w:tabs>
      </w:pPr>
      <w:r>
        <w:fldChar w:fldCharType="begin"/>
      </w:r>
      <w:r>
        <w:instrText xml:space="preserve"> HYPERLINK \l "_Toc30103" </w:instrText>
      </w:r>
      <w:r>
        <w:fldChar w:fldCharType="separate"/>
      </w:r>
      <w:r>
        <w:rPr>
          <w:rFonts w:hint="eastAsia"/>
        </w:rPr>
        <w:t>附录B（规范性）码展示渠道代码编码规则</w:t>
      </w:r>
      <w:r>
        <w:tab/>
      </w:r>
      <w:r>
        <w:fldChar w:fldCharType="begin"/>
      </w:r>
      <w:r>
        <w:instrText xml:space="preserve"> PAGEREF _Toc30103 \h </w:instrText>
      </w:r>
      <w:r>
        <w:fldChar w:fldCharType="separate"/>
      </w:r>
      <w:r>
        <w:t>7</w:t>
      </w:r>
      <w:r>
        <w:fldChar w:fldCharType="end"/>
      </w:r>
      <w:r>
        <w:fldChar w:fldCharType="end"/>
      </w:r>
    </w:p>
    <w:p>
      <w:pPr>
        <w:pStyle w:val="20"/>
        <w:tabs>
          <w:tab w:val="right" w:leader="dot" w:pos="9354"/>
        </w:tabs>
      </w:pPr>
      <w:r>
        <w:fldChar w:fldCharType="begin"/>
      </w:r>
      <w:r>
        <w:instrText xml:space="preserve"> HYPERLINK \l "_Toc19456" </w:instrText>
      </w:r>
      <w:r>
        <w:fldChar w:fldCharType="separate"/>
      </w:r>
      <w:r>
        <w:rPr>
          <w:rFonts w:hint="eastAsia"/>
        </w:rPr>
        <w:t>附录C（规范性）主体类别代码编码规则</w:t>
      </w:r>
      <w:r>
        <w:tab/>
      </w:r>
      <w:r>
        <w:fldChar w:fldCharType="begin"/>
      </w:r>
      <w:r>
        <w:instrText xml:space="preserve"> PAGEREF _Toc19456 \h </w:instrText>
      </w:r>
      <w:r>
        <w:fldChar w:fldCharType="separate"/>
      </w:r>
      <w:r>
        <w:t>8</w:t>
      </w:r>
      <w:r>
        <w:fldChar w:fldCharType="end"/>
      </w:r>
      <w:r>
        <w:fldChar w:fldCharType="end"/>
      </w:r>
    </w:p>
    <w:p>
      <w:pPr>
        <w:pStyle w:val="93"/>
        <w:spacing w:after="36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2"/>
    <w:p>
      <w:pPr>
        <w:pStyle w:val="91"/>
        <w:spacing w:after="360"/>
      </w:pPr>
      <w:bookmarkStart w:id="26" w:name="_Toc23263"/>
      <w:bookmarkStart w:id="27" w:name="_Toc12047"/>
      <w:bookmarkStart w:id="28" w:name="BookMark2"/>
      <w:r>
        <w:rPr>
          <w:spacing w:val="320"/>
        </w:rPr>
        <w:t>前</w:t>
      </w:r>
      <w:r>
        <w:t>言</w:t>
      </w:r>
      <w:bookmarkEnd w:id="23"/>
      <w:bookmarkEnd w:id="24"/>
      <w:bookmarkEnd w:id="25"/>
      <w:bookmarkEnd w:id="26"/>
      <w:bookmarkEnd w:id="27"/>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本文件是《全民健身运动码》系列标准之一。该系列标准的结构和名称如下：</w:t>
      </w:r>
    </w:p>
    <w:p>
      <w:pPr>
        <w:pStyle w:val="134"/>
      </w:pPr>
      <w:r>
        <w:rPr>
          <w:rFonts w:hint="eastAsia"/>
        </w:rPr>
        <w:t>全民健身运动码 参考模型；</w:t>
      </w:r>
    </w:p>
    <w:p>
      <w:pPr>
        <w:pStyle w:val="134"/>
      </w:pPr>
      <w:r>
        <w:rPr>
          <w:rFonts w:hint="eastAsia"/>
        </w:rPr>
        <w:t>全民健身运动码 数据格式；</w:t>
      </w:r>
    </w:p>
    <w:p>
      <w:pPr>
        <w:pStyle w:val="134"/>
      </w:pPr>
      <w:r>
        <w:rPr>
          <w:rFonts w:hint="eastAsia"/>
        </w:rPr>
        <w:t>全民健身运动码 应用接口。</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本文件按照GB/T 1.1—2020《标准化工作导则  第1部分：标准化文件的结构和起草规则》的规定起草。</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请注意本文件的某些内容可能涉及专利。本文件的发布机构不承担识别专利的责任。</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本文件由国家体育总局群众体育司提出。</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本文件由国家体育总局归口。</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本文件起草单位：国家体育总局群众体育司、国家体育总局体育信息中心、贵州省体育文化宣传信息中心、中体彩科技发展有限公司、中体数科（北京）体育发展有限公司、上海久事体育产业发展（集团）有限公司、安徽波动体育文化科技有限公司、华舰体育控股集团有限公司、北京动网天下科技有限公司、标新科技（北京）有限公司。</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本文件主要起草人：</w:t>
      </w:r>
    </w:p>
    <w:p>
      <w:pPr>
        <w:pStyle w:val="58"/>
        <w:ind w:firstLine="420"/>
      </w:pPr>
    </w:p>
    <w:p>
      <w:pPr>
        <w:pStyle w:val="58"/>
        <w:ind w:firstLine="420"/>
        <w:sectPr>
          <w:pgSz w:w="11906" w:h="16838"/>
          <w:pgMar w:top="1928" w:right="1134" w:bottom="1134" w:left="1134" w:header="1418" w:footer="1134" w:gutter="284"/>
          <w:pgNumType w:fmt="upperRoman"/>
          <w:cols w:space="425" w:num="1"/>
          <w:formProt w:val="0"/>
          <w:docGrid w:linePitch="312" w:charSpace="0"/>
        </w:sectPr>
      </w:pPr>
    </w:p>
    <w:bookmarkEnd w:id="28"/>
    <w:p>
      <w:pPr>
        <w:spacing w:line="20" w:lineRule="exact"/>
        <w:jc w:val="center"/>
        <w:rPr>
          <w:rFonts w:hint="eastAsia" w:ascii="黑体" w:hAnsi="黑体" w:eastAsia="黑体"/>
          <w:sz w:val="32"/>
          <w:szCs w:val="32"/>
        </w:rPr>
      </w:pPr>
      <w:bookmarkStart w:id="29"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A614444AE0C7498F92D06EF6ACCBC52F"/>
        </w:placeholder>
      </w:sdtPr>
      <w:sdtContent>
        <w:p>
          <w:pPr>
            <w:pStyle w:val="179"/>
            <w:spacing w:before="240" w:beforeLines="100" w:after="528" w:afterLines="220"/>
            <w:rPr>
              <w:rFonts w:hint="eastAsia"/>
            </w:rPr>
          </w:pPr>
          <w:bookmarkStart w:id="30" w:name="NEW_STAND_NAME"/>
          <w:r>
            <w:rPr>
              <w:rFonts w:hint="eastAsia"/>
            </w:rPr>
            <w:t>全民健身运动码</w:t>
          </w:r>
          <w:r>
            <w:t xml:space="preserve"> 参考模型</w:t>
          </w:r>
        </w:p>
      </w:sdtContent>
    </w:sdt>
    <w:bookmarkEnd w:id="30"/>
    <w:p>
      <w:pPr>
        <w:pStyle w:val="106"/>
        <w:spacing w:before="240" w:after="240"/>
      </w:pPr>
      <w:bookmarkStart w:id="31" w:name="_Toc19069"/>
      <w:bookmarkStart w:id="32" w:name="_Toc26648465"/>
      <w:bookmarkStart w:id="33" w:name="_Toc131168479"/>
      <w:bookmarkStart w:id="34" w:name="_Toc26718930"/>
      <w:bookmarkStart w:id="35" w:name="_Toc17233325"/>
      <w:bookmarkStart w:id="36" w:name="_Toc5046"/>
      <w:bookmarkStart w:id="37" w:name="_Toc144797280"/>
      <w:bookmarkStart w:id="38" w:name="_Toc26986771"/>
      <w:bookmarkStart w:id="39" w:name="_Toc26986530"/>
      <w:bookmarkStart w:id="40" w:name="_Toc24884211"/>
      <w:bookmarkStart w:id="41" w:name="_Toc17233333"/>
      <w:bookmarkStart w:id="42" w:name="_Toc24884218"/>
      <w:bookmarkStart w:id="43" w:name="_Toc130976308"/>
      <w:bookmarkStart w:id="44" w:name="_Toc97195091"/>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p>
    <w:p>
      <w:pPr>
        <w:pStyle w:val="58"/>
        <w:ind w:firstLine="420"/>
      </w:pPr>
      <w:bookmarkStart w:id="45" w:name="_Toc26648466"/>
      <w:bookmarkStart w:id="46" w:name="_Toc24884219"/>
      <w:bookmarkStart w:id="47" w:name="_Toc17233326"/>
      <w:bookmarkStart w:id="48" w:name="_Toc17233334"/>
      <w:bookmarkStart w:id="49" w:name="_Toc24884212"/>
      <w:r>
        <w:rPr>
          <w:rFonts w:hint="eastAsia"/>
        </w:rPr>
        <w:t>本文件规定了全民健身运动码的组成结构、码制和展现形式、应用流程和应用要求。</w:t>
      </w:r>
    </w:p>
    <w:p>
      <w:pPr>
        <w:pStyle w:val="58"/>
        <w:ind w:firstLine="420"/>
      </w:pPr>
      <w:r>
        <w:rPr>
          <w:rFonts w:hint="eastAsia"/>
        </w:rPr>
        <w:t>本文件适用于全民健身运动相关应用系统的设计、开发和系统集成。</w:t>
      </w:r>
    </w:p>
    <w:p>
      <w:pPr>
        <w:pStyle w:val="106"/>
        <w:spacing w:before="240" w:after="240"/>
      </w:pPr>
      <w:bookmarkStart w:id="50" w:name="_Toc130976309"/>
      <w:bookmarkStart w:id="51" w:name="_Toc144797281"/>
      <w:bookmarkStart w:id="52" w:name="_Toc26986531"/>
      <w:bookmarkStart w:id="53" w:name="_Toc13632"/>
      <w:bookmarkStart w:id="54" w:name="_Toc14976"/>
      <w:bookmarkStart w:id="55" w:name="_Toc26718931"/>
      <w:bookmarkStart w:id="56" w:name="_Toc26986772"/>
      <w:bookmarkStart w:id="57" w:name="_Toc131168480"/>
      <w:bookmarkStart w:id="58" w:name="_Toc97195092"/>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80C3CAAEA1D84B1FBBD3C4B4AF2A131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pPr>
      <w:r>
        <w:t>GB/T 2260</w:t>
      </w:r>
      <w:r>
        <w:rPr>
          <w:rFonts w:hint="eastAsia"/>
        </w:rPr>
        <w:t xml:space="preserve">  中华人民共和国行政区划代码</w:t>
      </w:r>
    </w:p>
    <w:p>
      <w:pPr>
        <w:pStyle w:val="58"/>
        <w:ind w:firstLine="420"/>
      </w:pPr>
      <w:r>
        <w:t xml:space="preserve">GB/T 4657  </w:t>
      </w:r>
      <w:r>
        <w:rPr>
          <w:rFonts w:hint="eastAsia"/>
        </w:rPr>
        <w:t>中央党政机关、人民团体及其他机构代码</w:t>
      </w:r>
    </w:p>
    <w:p>
      <w:pPr>
        <w:pStyle w:val="58"/>
        <w:ind w:firstLine="420"/>
      </w:pPr>
      <w:r>
        <w:t>GB/T 22239-2019</w:t>
      </w:r>
      <w:r>
        <w:rPr>
          <w:rFonts w:hint="eastAsia"/>
        </w:rPr>
        <w:t xml:space="preserve">  信息安全技术  网络安全等级保护基本要求</w:t>
      </w:r>
    </w:p>
    <w:p>
      <w:pPr>
        <w:pStyle w:val="58"/>
        <w:ind w:firstLine="420"/>
      </w:pPr>
      <w:r>
        <w:t>GB/T 27766</w:t>
      </w:r>
      <w:r>
        <w:rPr>
          <w:rFonts w:hint="eastAsia"/>
        </w:rPr>
        <w:t xml:space="preserve">  二维条码  网格矩阵码</w:t>
      </w:r>
    </w:p>
    <w:p>
      <w:pPr>
        <w:pStyle w:val="58"/>
        <w:ind w:firstLine="420"/>
      </w:pPr>
      <w:r>
        <w:t>GB/T 33560-2017</w:t>
      </w:r>
      <w:r>
        <w:rPr>
          <w:rFonts w:hint="eastAsia"/>
        </w:rPr>
        <w:t xml:space="preserve">  信息安全技术 密码应用标识规范</w:t>
      </w:r>
    </w:p>
    <w:p>
      <w:pPr>
        <w:pStyle w:val="58"/>
        <w:ind w:firstLine="420"/>
      </w:pPr>
      <w:r>
        <w:t>GB/T 35273</w:t>
      </w:r>
      <w:r>
        <w:rPr>
          <w:rFonts w:hint="eastAsia"/>
        </w:rPr>
        <w:t xml:space="preserve">  信息安全技术  个人信息安全规范</w:t>
      </w:r>
    </w:p>
    <w:p>
      <w:pPr>
        <w:pStyle w:val="58"/>
        <w:ind w:firstLine="420"/>
      </w:pPr>
      <w:r>
        <w:t>GB/T 35274</w:t>
      </w:r>
      <w:r>
        <w:rPr>
          <w:rFonts w:hint="eastAsia"/>
        </w:rPr>
        <w:t xml:space="preserve">  数据安全技术  大数据服务安全能力要求</w:t>
      </w:r>
    </w:p>
    <w:p>
      <w:pPr>
        <w:pStyle w:val="58"/>
        <w:ind w:firstLine="420"/>
        <w:rPr>
          <w:rFonts w:hint="eastAsia"/>
        </w:rPr>
      </w:pPr>
      <w:r>
        <w:rPr>
          <w:rFonts w:hint="eastAsia"/>
        </w:rPr>
        <w:t>GB/T 40660-2021  信息安全技术 生物特征识别信息保护基本要求</w:t>
      </w:r>
    </w:p>
    <w:p>
      <w:pPr>
        <w:pStyle w:val="106"/>
        <w:spacing w:before="240" w:after="240"/>
      </w:pPr>
      <w:bookmarkStart w:id="59" w:name="_Toc130976310"/>
      <w:bookmarkStart w:id="60" w:name="_Toc97195093"/>
      <w:bookmarkStart w:id="61" w:name="_Toc144797282"/>
      <w:bookmarkStart w:id="62" w:name="_Toc31823"/>
      <w:bookmarkStart w:id="63" w:name="_Toc26387"/>
      <w:bookmarkStart w:id="64" w:name="_Toc131168481"/>
      <w:r>
        <w:rPr>
          <w:rFonts w:hint="eastAsia"/>
          <w:szCs w:val="21"/>
        </w:rPr>
        <w:t>术语和定义</w:t>
      </w:r>
      <w:bookmarkEnd w:id="59"/>
      <w:bookmarkEnd w:id="60"/>
      <w:bookmarkEnd w:id="61"/>
      <w:bookmarkEnd w:id="62"/>
      <w:bookmarkEnd w:id="63"/>
      <w:bookmarkEnd w:id="64"/>
    </w:p>
    <w:sdt>
      <w:sdtPr>
        <w:id w:val="-1909835108"/>
        <w:placeholder>
          <w:docPart w:val="ABDE95CC34D240889060C4F172267D5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65" w:name="_Toc26986532"/>
          <w:bookmarkEnd w:id="65"/>
          <w:r>
            <w:t>下列术语和定义适用于本文件。</w:t>
          </w:r>
        </w:p>
      </w:sdtContent>
    </w:sdt>
    <w:p>
      <w:pPr>
        <w:pStyle w:val="225"/>
        <w:ind w:left="420" w:hanging="420" w:hangingChars="200"/>
        <w:rPr>
          <w:rFonts w:hint="eastAsia" w:ascii="黑体" w:hAnsi="黑体" w:eastAsia="黑体"/>
        </w:rPr>
      </w:pPr>
      <w:bookmarkStart w:id="66" w:name="_Toc144797283"/>
      <w:bookmarkStart w:id="67" w:name="_Toc131168482"/>
      <w:bookmarkStart w:id="68" w:name="_Toc130976311"/>
      <w:r>
        <w:rPr>
          <w:rFonts w:ascii="黑体" w:hAnsi="黑体" w:eastAsia="黑体"/>
        </w:rPr>
        <w:br w:type="textWrapping"/>
      </w:r>
      <w:r>
        <w:rPr>
          <w:rFonts w:hint="eastAsia" w:ascii="黑体" w:hAnsi="黑体" w:eastAsia="黑体"/>
        </w:rPr>
        <w:t xml:space="preserve">全民健身运动码 </w:t>
      </w:r>
      <w:r>
        <w:rPr>
          <w:rFonts w:ascii="黑体" w:hAnsi="黑体" w:eastAsia="黑体"/>
        </w:rPr>
        <w:t xml:space="preserve"> personal sport information code ; PS</w:t>
      </w:r>
      <w:r>
        <w:rPr>
          <w:rFonts w:hint="eastAsia" w:ascii="黑体" w:hAnsi="黑体" w:eastAsia="黑体"/>
        </w:rPr>
        <w:t>I</w:t>
      </w:r>
      <w:r>
        <w:rPr>
          <w:rFonts w:ascii="黑体" w:hAnsi="黑体" w:eastAsia="黑体"/>
        </w:rPr>
        <w:t xml:space="preserve"> – code</w:t>
      </w:r>
    </w:p>
    <w:p>
      <w:pPr>
        <w:pStyle w:val="58"/>
        <w:ind w:firstLine="420"/>
      </w:pPr>
      <w:r>
        <w:rPr>
          <w:rFonts w:hint="eastAsia"/>
        </w:rPr>
        <w:t>运动码与居民身份网络可信凭证绑定，表达用户授权他人或组织临时访问特定个人运动信息的一串数字或字母的序列。通常使用二维条码作为其存贮媒体。</w:t>
      </w:r>
    </w:p>
    <w:p>
      <w:pPr>
        <w:pStyle w:val="225"/>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运动码服务 </w:t>
      </w:r>
      <w:r>
        <w:rPr>
          <w:rFonts w:ascii="黑体" w:hAnsi="黑体" w:eastAsia="黑体"/>
        </w:rPr>
        <w:t xml:space="preserve"> code for national fitness on service</w:t>
      </w:r>
    </w:p>
    <w:p>
      <w:pPr>
        <w:pStyle w:val="58"/>
        <w:ind w:firstLine="420"/>
      </w:pPr>
      <w:r>
        <w:rPr>
          <w:rFonts w:hint="eastAsia"/>
        </w:rPr>
        <w:t>对通过身份验证的用户提供生产、分发和验证包含特定应用授权信息的运动码或其对应的二维条码的服务。</w:t>
      </w:r>
    </w:p>
    <w:p>
      <w:pPr>
        <w:pStyle w:val="225"/>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运动码应用 </w:t>
      </w:r>
      <w:r>
        <w:rPr>
          <w:rFonts w:ascii="黑体" w:hAnsi="黑体" w:eastAsia="黑体"/>
        </w:rPr>
        <w:t xml:space="preserve"> PSI - code application</w:t>
      </w:r>
    </w:p>
    <w:p>
      <w:pPr>
        <w:pStyle w:val="58"/>
        <w:ind w:firstLine="420"/>
      </w:pPr>
      <w:r>
        <w:rPr>
          <w:rFonts w:hint="eastAsia"/>
        </w:rPr>
        <w:t>提供或识别使用运动码的应用软件。</w:t>
      </w:r>
    </w:p>
    <w:p>
      <w:pPr>
        <w:pStyle w:val="225"/>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运动码应用系统 </w:t>
      </w:r>
      <w:r>
        <w:rPr>
          <w:rFonts w:ascii="黑体" w:hAnsi="黑体" w:eastAsia="黑体"/>
        </w:rPr>
        <w:t xml:space="preserve"> PSl - code application system</w:t>
      </w:r>
    </w:p>
    <w:p>
      <w:pPr>
        <w:pStyle w:val="58"/>
        <w:ind w:firstLine="420"/>
      </w:pPr>
      <w:r>
        <w:rPr>
          <w:rFonts w:hint="eastAsia"/>
        </w:rPr>
        <w:t>支持个人运动信息的采集、查询和使用的软硬件系统的统称，一般由运动码服务、运动码应用和个人运动信息服务组成。</w:t>
      </w:r>
    </w:p>
    <w:p>
      <w:pPr>
        <w:pStyle w:val="225"/>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个人运动信息服务 </w:t>
      </w:r>
      <w:r>
        <w:rPr>
          <w:rFonts w:ascii="黑体" w:hAnsi="黑体" w:eastAsia="黑体"/>
        </w:rPr>
        <w:t xml:space="preserve"> personal sport information service</w:t>
      </w:r>
    </w:p>
    <w:p>
      <w:pPr>
        <w:pStyle w:val="58"/>
        <w:ind w:firstLine="420"/>
      </w:pPr>
      <w:r>
        <w:rPr>
          <w:rFonts w:hint="eastAsia"/>
        </w:rPr>
        <w:t>在用户授权的前提下，提供个人自愿申报或相关组织合法拥有的个人运动信息的服务。</w:t>
      </w:r>
    </w:p>
    <w:p>
      <w:pPr>
        <w:pStyle w:val="106"/>
        <w:spacing w:before="240" w:after="240"/>
      </w:pPr>
      <w:bookmarkStart w:id="69" w:name="_Toc32761"/>
      <w:bookmarkStart w:id="70" w:name="_Toc5515"/>
      <w:r>
        <w:t>运动码的组成</w:t>
      </w:r>
      <w:bookmarkEnd w:id="66"/>
      <w:bookmarkEnd w:id="67"/>
      <w:bookmarkEnd w:id="68"/>
      <w:bookmarkEnd w:id="69"/>
      <w:bookmarkEnd w:id="70"/>
    </w:p>
    <w:p>
      <w:pPr>
        <w:pStyle w:val="107"/>
        <w:spacing w:before="120" w:after="120"/>
      </w:pPr>
      <w:bookmarkStart w:id="71" w:name="_Toc23571"/>
      <w:bookmarkStart w:id="72" w:name="_Toc144797284"/>
      <w:bookmarkStart w:id="73" w:name="_Toc27216"/>
      <w:bookmarkStart w:id="74" w:name="_Toc130976312"/>
      <w:bookmarkStart w:id="75" w:name="_Toc131168483"/>
      <w:r>
        <w:rPr>
          <w:rFonts w:hint="eastAsia"/>
        </w:rPr>
        <w:t>运动码的结构</w:t>
      </w:r>
      <w:bookmarkEnd w:id="71"/>
      <w:bookmarkEnd w:id="72"/>
      <w:bookmarkEnd w:id="73"/>
      <w:bookmarkEnd w:id="74"/>
      <w:bookmarkEnd w:id="75"/>
    </w:p>
    <w:p>
      <w:pPr>
        <w:pStyle w:val="58"/>
        <w:ind w:firstLine="420"/>
      </w:pPr>
      <w:r>
        <w:rPr>
          <w:rFonts w:hint="eastAsia"/>
        </w:rPr>
        <w:t>运动码由路由段（</w:t>
      </w:r>
      <w:r>
        <w:t>R</w:t>
      </w:r>
      <w:r>
        <w:rPr>
          <w:rFonts w:hint="eastAsia"/>
        </w:rPr>
        <w:t>段）、身份段（A段）、业务段（B段）和校验段（S段）组成。运动码码制结构应符合图1。</w:t>
      </w:r>
    </w:p>
    <w:p>
      <w:pPr>
        <w:pStyle w:val="58"/>
        <w:ind w:firstLine="0" w:firstLineChars="0"/>
      </w:pPr>
      <w:r>
        <w:drawing>
          <wp:inline distT="0" distB="0" distL="0" distR="0">
            <wp:extent cx="5910580" cy="1873885"/>
            <wp:effectExtent l="0" t="0" r="0" b="0"/>
            <wp:docPr id="1763566756"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763566756" name="图片 1"/>
                    <pic:cNvPicPr>
                      <a:picLocks noChangeAspect="true"/>
                    </pic:cNvPicPr>
                  </pic:nvPicPr>
                  <pic:blipFill>
                    <a:blip r:embed="rId13"/>
                    <a:stretch>
                      <a:fillRect/>
                    </a:stretch>
                  </pic:blipFill>
                  <pic:spPr>
                    <a:xfrm>
                      <a:off x="0" y="0"/>
                      <a:ext cx="5910580" cy="1873885"/>
                    </a:xfrm>
                    <a:prstGeom prst="rect">
                      <a:avLst/>
                    </a:prstGeom>
                    <a:noFill/>
                    <a:ln>
                      <a:noFill/>
                    </a:ln>
                  </pic:spPr>
                </pic:pic>
              </a:graphicData>
            </a:graphic>
          </wp:inline>
        </w:drawing>
      </w:r>
    </w:p>
    <w:p>
      <w:pPr>
        <w:pStyle w:val="116"/>
        <w:spacing w:before="120" w:after="120"/>
      </w:pPr>
      <w:r>
        <w:t>运动码的结构</w:t>
      </w:r>
    </w:p>
    <w:p>
      <w:pPr>
        <w:pStyle w:val="107"/>
        <w:spacing w:before="120" w:after="120"/>
      </w:pPr>
      <w:bookmarkStart w:id="76" w:name="_Toc1922"/>
      <w:bookmarkStart w:id="77" w:name="_Toc2894"/>
      <w:r>
        <w:rPr>
          <w:rFonts w:hint="eastAsia"/>
        </w:rPr>
        <w:t>路由段（R段）</w:t>
      </w:r>
      <w:bookmarkEnd w:id="76"/>
      <w:bookmarkEnd w:id="77"/>
    </w:p>
    <w:p>
      <w:pPr>
        <w:pStyle w:val="58"/>
        <w:ind w:firstLine="420"/>
      </w:pPr>
      <w:r>
        <w:rPr>
          <w:rFonts w:hint="eastAsia"/>
        </w:rPr>
        <w:t>用于识别码类型和生码源平台信息，实现跨地区、跨部门的码互通。包含：码类型代码、版本号代码、生码源平台代码、码展示渠道代码和主体类别代码，总长度为16个字节。</w:t>
      </w:r>
    </w:p>
    <w:p>
      <w:pPr>
        <w:pStyle w:val="176"/>
      </w:pPr>
      <w:r>
        <w:rPr>
          <w:rFonts w:hint="eastAsia"/>
        </w:rPr>
        <w:t>码类型代码，用于标识码的应用领域，固定为“</w:t>
      </w:r>
      <w:r>
        <w:t>YD</w:t>
      </w:r>
      <w:r>
        <w:rPr>
          <w:rFonts w:hint="eastAsia"/>
        </w:rPr>
        <w:t>M”，表示运动码，长度为3个字节。</w:t>
      </w:r>
    </w:p>
    <w:p>
      <w:pPr>
        <w:pStyle w:val="176"/>
      </w:pPr>
      <w:r>
        <w:rPr>
          <w:rFonts w:hint="eastAsia"/>
        </w:rPr>
        <w:t>版本号代码，用于运动码迭代后识别业务端内容，长度为3个字节，版本号可从“001”依次递增。</w:t>
      </w:r>
    </w:p>
    <w:p>
      <w:pPr>
        <w:pStyle w:val="176"/>
      </w:pPr>
      <w:r>
        <w:rPr>
          <w:rFonts w:hint="eastAsia"/>
        </w:rPr>
        <w:t>生码源平台代码，用于标识生码源平台代码，长度为7个字节。编码规则见附录A。</w:t>
      </w:r>
    </w:p>
    <w:p>
      <w:pPr>
        <w:pStyle w:val="176"/>
      </w:pPr>
      <w:r>
        <w:rPr>
          <w:rFonts w:hint="eastAsia"/>
        </w:rPr>
        <w:t>码展示渠道代码，用于标识码展示渠道，如国家全民健身信息服务平台（以下简称“国家平台”）移动端、微信小程序端、支付宝小程序端等，长度为1个字节，可使用“0-9”或“a-z”表示。编码规则见附录B。</w:t>
      </w:r>
    </w:p>
    <w:p>
      <w:pPr>
        <w:pStyle w:val="176"/>
      </w:pPr>
      <w:r>
        <w:rPr>
          <w:rFonts w:hint="eastAsia"/>
        </w:rPr>
        <w:t>主体类别代码，用于标识码的类别，长度为2个字节，固定为“01”表示个人运动码。编码规则见附录C。</w:t>
      </w:r>
    </w:p>
    <w:p>
      <w:pPr>
        <w:pStyle w:val="107"/>
        <w:spacing w:before="120" w:after="120"/>
      </w:pPr>
      <w:bookmarkStart w:id="78" w:name="_Toc9883"/>
      <w:bookmarkStart w:id="79" w:name="_Toc19253"/>
      <w:r>
        <w:rPr>
          <w:rFonts w:hint="eastAsia"/>
        </w:rPr>
        <w:t>身份段（A段）</w:t>
      </w:r>
      <w:bookmarkEnd w:id="78"/>
      <w:bookmarkEnd w:id="79"/>
    </w:p>
    <w:p>
      <w:pPr>
        <w:pStyle w:val="58"/>
        <w:ind w:firstLine="420"/>
      </w:pPr>
      <w:r>
        <w:rPr>
          <w:rFonts w:hint="eastAsia"/>
        </w:rPr>
        <w:t>存储运动码基础编码信息，用于标识码主体的身份，实现跨地区、跨部门的码互认。包括：证件类型、身份标识信息和扩展位，总长度为25个字节。</w:t>
      </w:r>
    </w:p>
    <w:p>
      <w:pPr>
        <w:pStyle w:val="176"/>
        <w:numPr>
          <w:ilvl w:val="0"/>
          <w:numId w:val="32"/>
        </w:numPr>
      </w:pPr>
      <w:r>
        <w:rPr>
          <w:rFonts w:hint="eastAsia"/>
        </w:rPr>
        <w:t>证件类型，个人基础信息的类型，长度为3个字节，例：身份证、港澳通行证等。</w:t>
      </w:r>
    </w:p>
    <w:p>
      <w:pPr>
        <w:pStyle w:val="176"/>
        <w:numPr>
          <w:ilvl w:val="0"/>
          <w:numId w:val="32"/>
        </w:numPr>
      </w:pPr>
      <w:r>
        <w:rPr>
          <w:rFonts w:hint="eastAsia"/>
        </w:rPr>
        <w:t>身份标识信息，由证件号通过某种映射规则生成，通过身份标识可查询到证件号，长度为16个字节。</w:t>
      </w:r>
    </w:p>
    <w:p>
      <w:pPr>
        <w:pStyle w:val="176"/>
        <w:numPr>
          <w:ilvl w:val="0"/>
          <w:numId w:val="32"/>
        </w:numPr>
      </w:pPr>
      <w:r>
        <w:rPr>
          <w:rFonts w:hint="eastAsia"/>
        </w:rPr>
        <w:t>扩展位，长度为6个字节。</w:t>
      </w:r>
    </w:p>
    <w:p>
      <w:pPr>
        <w:pStyle w:val="107"/>
        <w:spacing w:before="120" w:after="120"/>
      </w:pPr>
      <w:bookmarkStart w:id="80" w:name="_Toc18869"/>
      <w:bookmarkStart w:id="81" w:name="_Toc6700"/>
      <w:r>
        <w:rPr>
          <w:rFonts w:hint="eastAsia"/>
        </w:rPr>
        <w:t>业务段（B段）</w:t>
      </w:r>
      <w:bookmarkEnd w:id="80"/>
      <w:bookmarkEnd w:id="81"/>
    </w:p>
    <w:p>
      <w:pPr>
        <w:pStyle w:val="58"/>
        <w:ind w:firstLine="420"/>
      </w:pPr>
      <w:r>
        <w:rPr>
          <w:rFonts w:hint="eastAsia"/>
        </w:rPr>
        <w:t>用于存储业务索引及授权信息，按照平台自身的业务需求设计此段内容，此段采用TLV编码，为不定长段，建议不超过300字节。</w:t>
      </w:r>
    </w:p>
    <w:p>
      <w:pPr>
        <w:pStyle w:val="107"/>
        <w:spacing w:before="120" w:after="120"/>
      </w:pPr>
      <w:bookmarkStart w:id="82" w:name="_Toc23286"/>
      <w:bookmarkStart w:id="83" w:name="_Toc29161"/>
      <w:r>
        <w:rPr>
          <w:rFonts w:hint="eastAsia"/>
        </w:rPr>
        <w:t>校验段（S段）</w:t>
      </w:r>
      <w:bookmarkEnd w:id="82"/>
      <w:bookmarkEnd w:id="83"/>
    </w:p>
    <w:p>
      <w:pPr>
        <w:pStyle w:val="58"/>
        <w:ind w:firstLine="420"/>
      </w:pPr>
      <w:r>
        <w:rPr>
          <w:rFonts w:hint="eastAsia"/>
        </w:rPr>
        <w:t>用于校验码的真实有效性，由失效时间和数字签名组成，总长度为106个字节。</w:t>
      </w:r>
    </w:p>
    <w:p>
      <w:pPr>
        <w:pStyle w:val="176"/>
        <w:numPr>
          <w:ilvl w:val="0"/>
          <w:numId w:val="33"/>
        </w:numPr>
      </w:pPr>
      <w:r>
        <w:rPr>
          <w:rFonts w:hint="eastAsia"/>
        </w:rPr>
        <w:t>失效时间，一般以时间戳服务提供的时间为准，编码时将获得的“yyyymmddhhmmss”格式的数据按标准转换为long类型，长度为10个字节。</w:t>
      </w:r>
    </w:p>
    <w:p>
      <w:pPr>
        <w:pStyle w:val="176"/>
      </w:pPr>
      <w:r>
        <w:rPr>
          <w:rFonts w:hint="eastAsia"/>
        </w:rPr>
        <w:t>数字签名，用来校验码串信息是否被篡改，是针对路由段（R段）、身份段（A段）、业务段（B 段）内容的数字签名值。签名时应使用符合国家密码管理要求的算法，见G</w:t>
      </w:r>
      <w:r>
        <w:t>B/T 335</w:t>
      </w:r>
      <w:r>
        <w:rPr>
          <w:rFonts w:hint="eastAsia"/>
        </w:rPr>
        <w:t>6</w:t>
      </w:r>
      <w:r>
        <w:t>0-2017</w:t>
      </w:r>
      <w:r>
        <w:rPr>
          <w:rFonts w:hint="eastAsia"/>
        </w:rPr>
        <w:t>中标识为“1</w:t>
      </w:r>
      <w:r>
        <w:t>.2.156.10197.1.501</w:t>
      </w:r>
      <w:r>
        <w:rPr>
          <w:rFonts w:hint="eastAsia"/>
        </w:rPr>
        <w:t>”的算法。长度为96个字节。</w:t>
      </w:r>
    </w:p>
    <w:p>
      <w:pPr>
        <w:pStyle w:val="181"/>
      </w:pPr>
      <w:r>
        <w:rPr>
          <w:rFonts w:hint="eastAsia"/>
        </w:rPr>
        <w:t>数字签名采用SM2算法进行校验。</w:t>
      </w:r>
    </w:p>
    <w:p>
      <w:pPr>
        <w:pStyle w:val="106"/>
        <w:spacing w:before="240" w:after="240"/>
      </w:pPr>
      <w:bookmarkStart w:id="84" w:name="_Toc131168486"/>
      <w:bookmarkStart w:id="85" w:name="_Toc144797287"/>
      <w:bookmarkStart w:id="86" w:name="_Toc17016"/>
      <w:bookmarkStart w:id="87" w:name="_Toc19640"/>
      <w:bookmarkStart w:id="88" w:name="_Toc130976315"/>
      <w:r>
        <w:t>码制和展现形式</w:t>
      </w:r>
      <w:bookmarkEnd w:id="84"/>
      <w:bookmarkEnd w:id="85"/>
      <w:bookmarkEnd w:id="86"/>
      <w:bookmarkEnd w:id="87"/>
      <w:bookmarkEnd w:id="88"/>
    </w:p>
    <w:p>
      <w:pPr>
        <w:pStyle w:val="58"/>
        <w:ind w:firstLine="420"/>
      </w:pPr>
      <w:r>
        <w:rPr>
          <w:rFonts w:hint="eastAsia"/>
        </w:rPr>
        <w:t>将运动码编码为条码图像时应使用GB/T 27766规定的二维条码码制，以及其他有关国家标准规定的主流二维条码码制。</w:t>
      </w:r>
    </w:p>
    <w:p>
      <w:pPr>
        <w:pStyle w:val="58"/>
        <w:ind w:firstLine="420"/>
      </w:pPr>
      <w:r>
        <w:rPr>
          <w:rFonts w:hint="eastAsia"/>
        </w:rPr>
        <w:t>在展现运动码二维条码时，应同时提供信息业务等级文字或符号提示，宜同时提供脱敏的身份信息入口。一般在二维条码展示界面中还应提供操作提示和切换操作入口。</w:t>
      </w:r>
    </w:p>
    <w:p>
      <w:pPr>
        <w:pStyle w:val="106"/>
        <w:spacing w:before="240" w:after="240"/>
      </w:pPr>
      <w:bookmarkStart w:id="89" w:name="_Toc130976316"/>
      <w:bookmarkStart w:id="90" w:name="_Toc131168487"/>
      <w:bookmarkStart w:id="91" w:name="_Toc144797288"/>
      <w:bookmarkStart w:id="92" w:name="_Toc27190"/>
      <w:bookmarkStart w:id="93" w:name="_Toc13698"/>
      <w:r>
        <w:t>运动码应用</w:t>
      </w:r>
      <w:bookmarkEnd w:id="89"/>
      <w:bookmarkEnd w:id="90"/>
      <w:bookmarkEnd w:id="91"/>
      <w:r>
        <w:rPr>
          <w:rFonts w:hint="eastAsia"/>
        </w:rPr>
        <w:t>流程</w:t>
      </w:r>
      <w:bookmarkEnd w:id="92"/>
      <w:bookmarkEnd w:id="93"/>
    </w:p>
    <w:p>
      <w:pPr>
        <w:pStyle w:val="58"/>
        <w:ind w:firstLine="420"/>
      </w:pPr>
      <w:r>
        <w:rPr>
          <w:rFonts w:hint="eastAsia"/>
        </w:rPr>
        <w:t>运动码应用流程如图2所示。</w:t>
      </w:r>
    </w:p>
    <w:p>
      <w:pPr>
        <w:pStyle w:val="58"/>
        <w:ind w:firstLine="0" w:firstLineChars="0"/>
      </w:pPr>
      <w:r>
        <w:drawing>
          <wp:inline distT="0" distB="0" distL="0" distR="0">
            <wp:extent cx="5939790" cy="3426460"/>
            <wp:effectExtent l="0" t="0" r="3810" b="2540"/>
            <wp:docPr id="1339493148"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39493148" name="图片 1"/>
                    <pic:cNvPicPr>
                      <a:picLocks noChangeAspect="true"/>
                    </pic:cNvPicPr>
                  </pic:nvPicPr>
                  <pic:blipFill>
                    <a:blip r:embed="rId14"/>
                    <a:stretch>
                      <a:fillRect/>
                    </a:stretch>
                  </pic:blipFill>
                  <pic:spPr>
                    <a:xfrm>
                      <a:off x="0" y="0"/>
                      <a:ext cx="5939790" cy="3426460"/>
                    </a:xfrm>
                    <a:prstGeom prst="rect">
                      <a:avLst/>
                    </a:prstGeom>
                  </pic:spPr>
                </pic:pic>
              </a:graphicData>
            </a:graphic>
          </wp:inline>
        </w:drawing>
      </w:r>
    </w:p>
    <w:p>
      <w:pPr>
        <w:pStyle w:val="116"/>
        <w:spacing w:before="120" w:after="120"/>
      </w:pPr>
      <w:r>
        <w:rPr>
          <w:rFonts w:hint="eastAsia"/>
        </w:rPr>
        <w:t>运动码应用流程</w:t>
      </w:r>
    </w:p>
    <w:p>
      <w:pPr>
        <w:pStyle w:val="107"/>
        <w:spacing w:before="120" w:after="120"/>
      </w:pPr>
      <w:bookmarkStart w:id="94" w:name="_Toc20330"/>
      <w:bookmarkStart w:id="95" w:name="_Toc10789"/>
      <w:r>
        <w:rPr>
          <w:rFonts w:hint="eastAsia"/>
        </w:rPr>
        <w:t>系统组成</w:t>
      </w:r>
      <w:bookmarkEnd w:id="94"/>
      <w:bookmarkEnd w:id="95"/>
    </w:p>
    <w:p>
      <w:pPr>
        <w:pStyle w:val="58"/>
        <w:ind w:firstLine="420"/>
      </w:pPr>
      <w:bookmarkStart w:id="96" w:name="_Hlk180152188"/>
      <w:bookmarkStart w:id="97" w:name="_Toc144797290"/>
      <w:bookmarkStart w:id="98" w:name="_Toc130976318"/>
      <w:bookmarkStart w:id="99" w:name="_Toc131168489"/>
      <w:r>
        <w:rPr>
          <w:rFonts w:hint="eastAsia"/>
        </w:rPr>
        <w:t>在图2中，各组成部分的功能和协作关系如下：</w:t>
      </w:r>
    </w:p>
    <w:p>
      <w:pPr>
        <w:pStyle w:val="176"/>
        <w:numPr>
          <w:ilvl w:val="0"/>
          <w:numId w:val="34"/>
        </w:numPr>
      </w:pPr>
      <w:r>
        <w:rPr>
          <w:rFonts w:hint="eastAsia"/>
        </w:rPr>
        <w:t>国家平台个人运动码服务主要提供个人运动码基础码制码、二维码制码、二维码验码、用户空间等相关的功能，并对相关功能封装SDK为试点省份平台提供调用。</w:t>
      </w:r>
    </w:p>
    <w:p>
      <w:pPr>
        <w:pStyle w:val="176"/>
        <w:numPr>
          <w:ilvl w:val="0"/>
          <w:numId w:val="34"/>
        </w:numPr>
      </w:pPr>
      <w:r>
        <w:rPr>
          <w:rFonts w:hint="eastAsia"/>
        </w:rPr>
        <w:t>试点省份平台个人运动码服务主要提供本省个人运动码基础码制码、二维码制码、二维码验码等相关功能，并收集个人运动相关的业务数据，通过国家平台SDK进行个人运动数据同步。</w:t>
      </w:r>
    </w:p>
    <w:p>
      <w:pPr>
        <w:pStyle w:val="176"/>
        <w:numPr>
          <w:ilvl w:val="0"/>
          <w:numId w:val="34"/>
        </w:numPr>
      </w:pPr>
      <w:r>
        <w:rPr>
          <w:rFonts w:hint="eastAsia"/>
        </w:rPr>
        <w:t>个人运动码应用扫码端主要识别个人运动码应用出示的个人运动码，并基于个人运动二维码收集相关个人运动数据，并将个人运动业务数据回传至试点省平台。</w:t>
      </w:r>
    </w:p>
    <w:p>
      <w:pPr>
        <w:pStyle w:val="176"/>
        <w:numPr>
          <w:ilvl w:val="0"/>
          <w:numId w:val="34"/>
        </w:numPr>
      </w:pPr>
      <w:r>
        <w:rPr>
          <w:rFonts w:hint="eastAsia"/>
        </w:rPr>
        <w:t>个人运动码应用亮码端主要完成个人运动基础码、个人运动二维码的制码、亮码。</w:t>
      </w:r>
      <w:bookmarkEnd w:id="96"/>
    </w:p>
    <w:p>
      <w:pPr>
        <w:pStyle w:val="107"/>
        <w:spacing w:before="120" w:after="120"/>
      </w:pPr>
      <w:bookmarkStart w:id="100" w:name="_Toc20595"/>
      <w:bookmarkStart w:id="101" w:name="_Toc17322"/>
      <w:r>
        <w:rPr>
          <w:rFonts w:hint="eastAsia"/>
        </w:rPr>
        <w:t>使用流程</w:t>
      </w:r>
      <w:bookmarkEnd w:id="97"/>
      <w:bookmarkEnd w:id="98"/>
      <w:bookmarkEnd w:id="99"/>
      <w:bookmarkEnd w:id="100"/>
      <w:bookmarkEnd w:id="101"/>
    </w:p>
    <w:p>
      <w:pPr>
        <w:pStyle w:val="176"/>
        <w:numPr>
          <w:ilvl w:val="0"/>
          <w:numId w:val="35"/>
        </w:numPr>
      </w:pPr>
      <w:bookmarkStart w:id="102" w:name="_Toc130976319"/>
      <w:bookmarkStart w:id="103" w:name="_Toc144797291"/>
      <w:bookmarkStart w:id="104" w:name="_Toc131168490"/>
      <w:r>
        <w:rPr>
          <w:rFonts w:hint="eastAsia"/>
        </w:rPr>
        <w:t>个人运动码应用亮码端的用户在移动终端或web端上完成实名认证、实人认证，申领运动码；</w:t>
      </w:r>
    </w:p>
    <w:p>
      <w:pPr>
        <w:pStyle w:val="176"/>
      </w:pPr>
      <w:r>
        <w:rPr>
          <w:rFonts w:hint="eastAsia"/>
        </w:rPr>
        <w:t>用户通过个人运动码应用亮码端向个人运动码服务申请制码；</w:t>
      </w:r>
    </w:p>
    <w:p>
      <w:pPr>
        <w:pStyle w:val="176"/>
      </w:pPr>
      <w:r>
        <w:rPr>
          <w:rFonts w:hint="eastAsia"/>
        </w:rPr>
        <w:t>个人运动码服务向个人运动码应用亮码端返回运动码或二维条码图像流；</w:t>
      </w:r>
    </w:p>
    <w:p>
      <w:pPr>
        <w:pStyle w:val="176"/>
      </w:pPr>
      <w:r>
        <w:rPr>
          <w:rFonts w:hint="eastAsia"/>
        </w:rPr>
        <w:t>个人运动码应用亮码端展示个人运动信息；</w:t>
      </w:r>
    </w:p>
    <w:p>
      <w:pPr>
        <w:pStyle w:val="176"/>
      </w:pPr>
      <w:r>
        <w:rPr>
          <w:rFonts w:hint="eastAsia"/>
        </w:rPr>
        <w:t>个人运动码扫码端获得运动码，将身份信息及产生的运动信息传递给运动码应用系统。</w:t>
      </w:r>
    </w:p>
    <w:p>
      <w:pPr>
        <w:pStyle w:val="107"/>
        <w:spacing w:before="120" w:after="120"/>
      </w:pPr>
      <w:bookmarkStart w:id="105" w:name="_Toc11966"/>
      <w:bookmarkStart w:id="106" w:name="_Toc15963"/>
      <w:r>
        <w:rPr>
          <w:rFonts w:hint="eastAsia"/>
        </w:rPr>
        <w:t>运动码互认</w:t>
      </w:r>
      <w:bookmarkEnd w:id="102"/>
      <w:bookmarkEnd w:id="103"/>
      <w:bookmarkEnd w:id="104"/>
      <w:bookmarkEnd w:id="105"/>
      <w:bookmarkEnd w:id="106"/>
    </w:p>
    <w:p>
      <w:pPr>
        <w:pStyle w:val="167"/>
      </w:pPr>
      <w:r>
        <w:rPr>
          <w:rFonts w:hint="eastAsia"/>
        </w:rPr>
        <w:t>各运动码应用系统按图3所示的机制采取汇集运动信息目录的方式实现互信互认。</w:t>
      </w:r>
    </w:p>
    <w:p>
      <w:pPr>
        <w:pStyle w:val="167"/>
        <w:numPr>
          <w:ilvl w:val="0"/>
          <w:numId w:val="0"/>
        </w:numPr>
      </w:pPr>
      <w:r>
        <w:drawing>
          <wp:inline distT="0" distB="0" distL="0" distR="0">
            <wp:extent cx="5937250" cy="2895600"/>
            <wp:effectExtent l="0" t="0" r="6350" b="0"/>
            <wp:docPr id="3" name="图片 3" descr="E:\桌面\泡泡糖7.pn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descr="E:\桌面\泡泡糖7.png"/>
                    <pic:cNvPicPr>
                      <a:picLocks noChangeAspect="true" noChangeArrowheads="true"/>
                    </pic:cNvPicPr>
                  </pic:nvPicPr>
                  <pic:blipFill>
                    <a:blip r:embed="rId15">
                      <a:extLst>
                        <a:ext uri="{28A0092B-C50C-407E-A947-70E740481C1C}">
                          <a14:useLocalDpi xmlns:a14="http://schemas.microsoft.com/office/drawing/2010/main" val="false"/>
                        </a:ext>
                      </a:extLst>
                    </a:blip>
                    <a:srcRect/>
                    <a:stretch>
                      <a:fillRect/>
                    </a:stretch>
                  </pic:blipFill>
                  <pic:spPr>
                    <a:xfrm>
                      <a:off x="0" y="0"/>
                      <a:ext cx="5937250" cy="2895600"/>
                    </a:xfrm>
                    <a:prstGeom prst="rect">
                      <a:avLst/>
                    </a:prstGeom>
                    <a:noFill/>
                    <a:ln>
                      <a:noFill/>
                    </a:ln>
                  </pic:spPr>
                </pic:pic>
              </a:graphicData>
            </a:graphic>
          </wp:inline>
        </w:drawing>
      </w:r>
    </w:p>
    <w:p>
      <w:pPr>
        <w:pStyle w:val="116"/>
        <w:spacing w:before="120" w:after="120"/>
      </w:pPr>
      <w:r>
        <w:t>运动码应用系统的目录汇集和互认</w:t>
      </w:r>
    </w:p>
    <w:p>
      <w:pPr>
        <w:pStyle w:val="167"/>
      </w:pPr>
      <w:bookmarkStart w:id="107" w:name="_Toc131168491"/>
      <w:bookmarkStart w:id="108" w:name="_Toc144797292"/>
      <w:bookmarkStart w:id="109" w:name="_Toc130976320"/>
      <w:r>
        <w:rPr>
          <w:rFonts w:hint="eastAsia"/>
        </w:rPr>
        <w:t>各地区建设的运动码应用系统应对接实名实人认证系统和制码中心，在编码组成、码制和展现形式方面应符合本文件或与本文件兼容，并应获得第三方机构相应的技术检测报告。</w:t>
      </w:r>
    </w:p>
    <w:p>
      <w:pPr>
        <w:pStyle w:val="167"/>
      </w:pPr>
      <w:r>
        <w:rPr>
          <w:rFonts w:hint="eastAsia"/>
        </w:rPr>
        <w:t>各地区运动码系统应用中的运动信息应汇聚到统一的国家平台。</w:t>
      </w:r>
    </w:p>
    <w:p>
      <w:pPr>
        <w:pStyle w:val="167"/>
      </w:pPr>
      <w:r>
        <w:rPr>
          <w:rFonts w:hint="eastAsia"/>
        </w:rPr>
        <w:t>各运动码应用系统可对外提供信息服务并对数据质量负责，同时应提供数据异议处理服务。</w:t>
      </w:r>
    </w:p>
    <w:p>
      <w:pPr>
        <w:pStyle w:val="167"/>
      </w:pPr>
      <w:r>
        <w:rPr>
          <w:rFonts w:hint="eastAsia"/>
        </w:rPr>
        <w:t>个人运动信息服务平台可对外提供基于运动信息目录的信息服务并提供统一异议处理入口。</w:t>
      </w:r>
    </w:p>
    <w:p>
      <w:pPr>
        <w:pStyle w:val="106"/>
        <w:spacing w:before="240" w:after="240"/>
      </w:pPr>
      <w:bookmarkStart w:id="110" w:name="_Toc22728"/>
      <w:bookmarkStart w:id="111" w:name="_Toc11462"/>
      <w:r>
        <w:t>运动码应用要求</w:t>
      </w:r>
      <w:bookmarkEnd w:id="107"/>
      <w:bookmarkEnd w:id="108"/>
      <w:bookmarkEnd w:id="109"/>
      <w:bookmarkEnd w:id="110"/>
      <w:bookmarkEnd w:id="111"/>
    </w:p>
    <w:p>
      <w:pPr>
        <w:pStyle w:val="107"/>
        <w:spacing w:before="120" w:after="120"/>
      </w:pPr>
      <w:bookmarkStart w:id="112" w:name="_Toc130976321"/>
      <w:bookmarkStart w:id="113" w:name="_Toc144797293"/>
      <w:bookmarkStart w:id="114" w:name="_Toc131168492"/>
      <w:bookmarkStart w:id="115" w:name="_Toc594"/>
      <w:bookmarkStart w:id="116" w:name="_Toc30597"/>
      <w:r>
        <w:t>一般要求</w:t>
      </w:r>
      <w:bookmarkEnd w:id="112"/>
      <w:bookmarkEnd w:id="113"/>
      <w:bookmarkEnd w:id="114"/>
      <w:bookmarkEnd w:id="115"/>
      <w:bookmarkEnd w:id="116"/>
    </w:p>
    <w:p>
      <w:pPr>
        <w:pStyle w:val="58"/>
        <w:ind w:firstLine="420"/>
      </w:pPr>
      <w:r>
        <w:rPr>
          <w:rFonts w:hint="eastAsia"/>
        </w:rPr>
        <w:t>运动码应用以服务业务为原则，在不同的场景中，可在本标准的基础上灵活采用符合实际需求的界面和交互方式。</w:t>
      </w:r>
    </w:p>
    <w:p>
      <w:pPr>
        <w:pStyle w:val="107"/>
        <w:spacing w:before="120" w:after="120"/>
      </w:pPr>
      <w:bookmarkStart w:id="117" w:name="_Toc10871"/>
      <w:bookmarkStart w:id="118" w:name="_Toc16880"/>
      <w:bookmarkStart w:id="119" w:name="_Toc130976322"/>
      <w:bookmarkStart w:id="120" w:name="_Toc131168493"/>
      <w:bookmarkStart w:id="121" w:name="_Toc144797294"/>
      <w:r>
        <w:t>身份认证要求</w:t>
      </w:r>
      <w:bookmarkEnd w:id="117"/>
      <w:bookmarkEnd w:id="118"/>
      <w:bookmarkEnd w:id="119"/>
      <w:bookmarkEnd w:id="120"/>
      <w:bookmarkEnd w:id="121"/>
    </w:p>
    <w:p>
      <w:pPr>
        <w:pStyle w:val="58"/>
        <w:ind w:firstLine="420"/>
      </w:pPr>
      <w:r>
        <w:rPr>
          <w:rFonts w:hint="eastAsia"/>
        </w:rPr>
        <w:t>运动码申请和重新换领（有效期截止）时应先进行用户实名实人认证，相关认证应至少提供一种生物特征识别功能。生物特征识别应符合GB/T 40660 - 2021及GB/T 35273中有关个人信息保护的要求。</w:t>
      </w:r>
    </w:p>
    <w:p>
      <w:pPr>
        <w:pStyle w:val="107"/>
        <w:spacing w:before="120" w:after="120"/>
      </w:pPr>
      <w:bookmarkStart w:id="122" w:name="_Toc144797295"/>
      <w:bookmarkStart w:id="123" w:name="_Toc131168494"/>
      <w:bookmarkStart w:id="124" w:name="_Toc23736"/>
      <w:bookmarkStart w:id="125" w:name="_Toc12444"/>
      <w:bookmarkStart w:id="126" w:name="_Toc130976323"/>
      <w:r>
        <w:t>应用对接要求</w:t>
      </w:r>
      <w:bookmarkEnd w:id="122"/>
      <w:bookmarkEnd w:id="123"/>
      <w:bookmarkEnd w:id="124"/>
      <w:bookmarkEnd w:id="125"/>
      <w:bookmarkEnd w:id="126"/>
    </w:p>
    <w:p>
      <w:pPr>
        <w:pStyle w:val="58"/>
        <w:ind w:firstLine="420"/>
      </w:pPr>
      <w:r>
        <w:rPr>
          <w:rFonts w:hint="eastAsia"/>
        </w:rPr>
        <w:t>运动码服务主要是为各应用提供用户授权行为存证，服务于各类个人运动信息应用。</w:t>
      </w:r>
    </w:p>
    <w:p>
      <w:pPr>
        <w:pStyle w:val="107"/>
        <w:spacing w:before="120" w:after="120"/>
      </w:pPr>
      <w:bookmarkStart w:id="127" w:name="_Toc30624"/>
      <w:bookmarkStart w:id="128" w:name="_Toc131168495"/>
      <w:bookmarkStart w:id="129" w:name="_Toc130976324"/>
      <w:bookmarkStart w:id="130" w:name="_Toc144797296"/>
      <w:bookmarkStart w:id="131" w:name="_Toc5239"/>
      <w:r>
        <w:t>信息保护要求</w:t>
      </w:r>
      <w:bookmarkEnd w:id="127"/>
      <w:bookmarkEnd w:id="128"/>
      <w:bookmarkEnd w:id="129"/>
      <w:bookmarkEnd w:id="130"/>
      <w:bookmarkEnd w:id="131"/>
    </w:p>
    <w:p>
      <w:pPr>
        <w:pStyle w:val="167"/>
      </w:pPr>
      <w:r>
        <w:rPr>
          <w:rFonts w:hint="eastAsia"/>
        </w:rPr>
        <w:t>运动码的有效时间按照数据信息分级设置。</w:t>
      </w:r>
    </w:p>
    <w:p>
      <w:pPr>
        <w:pStyle w:val="167"/>
      </w:pPr>
      <w:r>
        <w:rPr>
          <w:rFonts w:hint="eastAsia"/>
        </w:rPr>
        <w:t>运动码在应用端应被妥善保护，采用国家密码管理要求的算法进行加密保存，其使用宜配合用户的口令确认。</w:t>
      </w:r>
    </w:p>
    <w:p>
      <w:pPr>
        <w:pStyle w:val="167"/>
      </w:pPr>
      <w:r>
        <w:rPr>
          <w:rFonts w:hint="eastAsia"/>
        </w:rPr>
        <w:t>个人运动信息服务和运动码服务应动态监控相关应用的请求行为，出现异常情况时可在提示后切断相关服务和响应。</w:t>
      </w:r>
    </w:p>
    <w:p>
      <w:pPr>
        <w:pStyle w:val="107"/>
        <w:spacing w:before="120" w:after="120"/>
      </w:pPr>
      <w:bookmarkStart w:id="132" w:name="_Toc12897"/>
      <w:bookmarkStart w:id="133" w:name="_Toc130976325"/>
      <w:bookmarkStart w:id="134" w:name="_Toc144797297"/>
      <w:bookmarkStart w:id="135" w:name="_Toc22180"/>
      <w:bookmarkStart w:id="136" w:name="_Toc131168496"/>
      <w:r>
        <w:t>安全要求</w:t>
      </w:r>
      <w:bookmarkEnd w:id="132"/>
      <w:bookmarkEnd w:id="133"/>
      <w:bookmarkEnd w:id="134"/>
      <w:bookmarkEnd w:id="135"/>
      <w:bookmarkEnd w:id="136"/>
    </w:p>
    <w:p>
      <w:pPr>
        <w:pStyle w:val="167"/>
      </w:pPr>
      <w:r>
        <w:rPr>
          <w:rFonts w:hint="eastAsia"/>
        </w:rPr>
        <w:t>个人运动信息服务及其应用应达到G</w:t>
      </w:r>
      <w:r>
        <w:t>B/T 22239</w:t>
      </w:r>
      <w:r>
        <w:rPr>
          <w:rFonts w:hint="eastAsia"/>
        </w:rPr>
        <w:t>-2019等级保护第三级的要求。</w:t>
      </w:r>
    </w:p>
    <w:p>
      <w:pPr>
        <w:pStyle w:val="167"/>
      </w:pPr>
      <w:r>
        <w:rPr>
          <w:rFonts w:hint="eastAsia"/>
        </w:rPr>
        <w:t>个人运动信息服务的采集、加工和使用应符合G</w:t>
      </w:r>
      <w:r>
        <w:t>B/T 35273</w:t>
      </w:r>
      <w:r>
        <w:rPr>
          <w:rFonts w:hint="eastAsia"/>
        </w:rPr>
        <w:t>的规定。</w:t>
      </w:r>
    </w:p>
    <w:p>
      <w:pPr>
        <w:pStyle w:val="167"/>
      </w:pPr>
      <w:r>
        <w:rPr>
          <w:rFonts w:hint="eastAsia"/>
        </w:rPr>
        <w:t>运动码服务运营方和个人运动信息控制者应遵循G</w:t>
      </w:r>
      <w:r>
        <w:t>B/T 35274</w:t>
      </w:r>
      <w:r>
        <w:rPr>
          <w:rFonts w:hint="eastAsia"/>
        </w:rPr>
        <w:t>建立数据安全保护制度，实施必要的数据安全技术措施。</w:t>
      </w:r>
    </w:p>
    <w:p>
      <w:pPr>
        <w:pStyle w:val="167"/>
      </w:pPr>
      <w:r>
        <w:rPr>
          <w:rFonts w:hint="eastAsia"/>
        </w:rPr>
        <w:t>个人运动信息持有者应定期备份数据，提升容灾备份能力。</w:t>
      </w:r>
    </w:p>
    <w:p>
      <w:pPr>
        <w:pStyle w:val="58"/>
        <w:ind w:firstLine="0" w:firstLineChars="0"/>
        <w:jc w:val="center"/>
      </w:pPr>
    </w:p>
    <w:p>
      <w:pPr>
        <w:pStyle w:val="58"/>
        <w:ind w:firstLine="0" w:firstLineChars="0"/>
        <w:jc w:val="center"/>
        <w:sectPr>
          <w:pgSz w:w="11906" w:h="16838"/>
          <w:pgMar w:top="1928" w:right="1134" w:bottom="1134" w:left="1134" w:header="1418" w:footer="1134" w:gutter="284"/>
          <w:pgNumType w:start="1"/>
          <w:cols w:space="425" w:num="1"/>
          <w:formProt w:val="0"/>
          <w:docGrid w:linePitch="312" w:charSpace="0"/>
        </w:sectPr>
      </w:pPr>
    </w:p>
    <w:bookmarkEnd w:id="29"/>
    <w:p>
      <w:pPr>
        <w:pStyle w:val="200"/>
        <w:rPr>
          <w:rFonts w:hint="eastAsia"/>
        </w:rPr>
      </w:pPr>
      <w:bookmarkStart w:id="137" w:name="BookMark5"/>
    </w:p>
    <w:p>
      <w:pPr>
        <w:pStyle w:val="201"/>
      </w:pPr>
    </w:p>
    <w:p>
      <w:pPr>
        <w:pStyle w:val="78"/>
        <w:spacing w:after="120"/>
      </w:pPr>
      <w:bookmarkStart w:id="138" w:name="_Toc12514"/>
      <w:bookmarkStart w:id="139" w:name="_Toc7193"/>
      <w:r>
        <w:br w:type="textWrapping"/>
      </w:r>
      <w:r>
        <w:rPr>
          <w:rFonts w:hint="eastAsia"/>
        </w:rPr>
        <w:t>（规范性）</w:t>
      </w:r>
      <w:r>
        <w:br w:type="textWrapping"/>
      </w:r>
      <w:r>
        <w:rPr>
          <w:rFonts w:hint="eastAsia"/>
        </w:rPr>
        <w:t>生码源平台代码编码规则</w:t>
      </w:r>
      <w:bookmarkEnd w:id="138"/>
      <w:bookmarkEnd w:id="139"/>
    </w:p>
    <w:p>
      <w:pPr>
        <w:pStyle w:val="58"/>
        <w:ind w:firstLine="420"/>
      </w:pPr>
      <w:r>
        <w:rPr>
          <w:rFonts w:hint="eastAsia"/>
        </w:rPr>
        <w:t>生码源平台代码共7个字节。第1字节为平台标识位，“1”表示国家全民健身信息服务平台，“2”表示省级全民健身信息服务平台，“3”表示市级全民健身信息服务平台。第2至5字节为中央党政机关、人民团体及其他机构代码（具体参见 GB/T 4657）或行政区划代码（具体参见GB/T 2260），不足4字节的在末尾补0。第6、7字节按数字顺序编号（用于区分多个码情形）。国家全民健身信息服务平台负责维护各地区生码源平台标识，地方全民健身信息服务平台负责维护本级机构生码源平台标识。</w:t>
      </w:r>
    </w:p>
    <w:p>
      <w:pPr>
        <w:pStyle w:val="58"/>
        <w:ind w:firstLine="420"/>
      </w:pPr>
      <w:r>
        <w:rPr>
          <w:rFonts w:hint="eastAsia"/>
        </w:rPr>
        <w:t>生码源平台代码结构见图A.1。</w:t>
      </w:r>
    </w:p>
    <w:p>
      <w:pPr>
        <w:pStyle w:val="58"/>
        <w:ind w:firstLine="0" w:firstLineChars="0"/>
        <w:jc w:val="center"/>
      </w:pPr>
      <w:r>
        <w:drawing>
          <wp:inline distT="0" distB="0" distL="0" distR="0">
            <wp:extent cx="5136515" cy="1772920"/>
            <wp:effectExtent l="0" t="0" r="6985" b="0"/>
            <wp:docPr id="1021652146"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21652146" name="图片 1"/>
                    <pic:cNvPicPr>
                      <a:picLocks noChangeAspect="true"/>
                    </pic:cNvPicPr>
                  </pic:nvPicPr>
                  <pic:blipFill>
                    <a:blip r:embed="rId16"/>
                    <a:stretch>
                      <a:fillRect/>
                    </a:stretch>
                  </pic:blipFill>
                  <pic:spPr>
                    <a:xfrm>
                      <a:off x="0" y="0"/>
                      <a:ext cx="5172596" cy="1785580"/>
                    </a:xfrm>
                    <a:prstGeom prst="rect">
                      <a:avLst/>
                    </a:prstGeom>
                  </pic:spPr>
                </pic:pic>
              </a:graphicData>
            </a:graphic>
          </wp:inline>
        </w:drawing>
      </w:r>
    </w:p>
    <w:p>
      <w:pPr>
        <w:pStyle w:val="85"/>
        <w:spacing w:before="120" w:after="120"/>
      </w:pPr>
      <w:r>
        <w:rPr>
          <w:rFonts w:hint="eastAsia"/>
        </w:rPr>
        <w:t>生码源平台代码结构</w:t>
      </w:r>
    </w:p>
    <w:p>
      <w:pPr>
        <w:pStyle w:val="58"/>
        <w:ind w:firstLine="420"/>
      </w:pPr>
      <w:r>
        <w:rPr>
          <w:rFonts w:hint="eastAsia"/>
        </w:rPr>
        <w:t>生码源平台代码示例见图A.2。</w:t>
      </w:r>
    </w:p>
    <w:p>
      <w:pPr>
        <w:pStyle w:val="58"/>
        <w:ind w:firstLine="420"/>
        <w:jc w:val="center"/>
      </w:pPr>
      <w:r>
        <w:drawing>
          <wp:inline distT="0" distB="0" distL="0" distR="0">
            <wp:extent cx="4699000" cy="1884045"/>
            <wp:effectExtent l="0" t="0" r="6350" b="1905"/>
            <wp:docPr id="299873167"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99873167" name="图片 1"/>
                    <pic:cNvPicPr>
                      <a:picLocks noChangeAspect="true"/>
                    </pic:cNvPicPr>
                  </pic:nvPicPr>
                  <pic:blipFill>
                    <a:blip r:embed="rId17"/>
                    <a:stretch>
                      <a:fillRect/>
                    </a:stretch>
                  </pic:blipFill>
                  <pic:spPr>
                    <a:xfrm>
                      <a:off x="0" y="0"/>
                      <a:ext cx="4736086" cy="1899194"/>
                    </a:xfrm>
                    <a:prstGeom prst="rect">
                      <a:avLst/>
                    </a:prstGeom>
                  </pic:spPr>
                </pic:pic>
              </a:graphicData>
            </a:graphic>
          </wp:inline>
        </w:drawing>
      </w:r>
    </w:p>
    <w:p>
      <w:pPr>
        <w:pStyle w:val="85"/>
        <w:spacing w:before="120" w:after="120"/>
      </w:pPr>
      <w:r>
        <w:rPr>
          <w:rFonts w:hint="eastAsia"/>
        </w:rPr>
        <w:t>生码源平台代码示例</w:t>
      </w:r>
    </w:p>
    <w:p>
      <w:pPr>
        <w:pStyle w:val="58"/>
        <w:ind w:firstLine="420"/>
      </w:pPr>
    </w:p>
    <w:p>
      <w:pPr>
        <w:pStyle w:val="58"/>
        <w:ind w:firstLine="420"/>
        <w:sectPr>
          <w:pgSz w:w="11906" w:h="16838"/>
          <w:pgMar w:top="1928" w:right="1134" w:bottom="1134" w:left="1134" w:header="1418" w:footer="1134" w:gutter="284"/>
          <w:cols w:space="425" w:num="1"/>
          <w:formProt w:val="0"/>
          <w:docGrid w:linePitch="312" w:charSpace="0"/>
        </w:sectPr>
      </w:pPr>
    </w:p>
    <w:p>
      <w:pPr>
        <w:pStyle w:val="200"/>
        <w:rPr>
          <w:rFonts w:hint="eastAsia"/>
        </w:rPr>
      </w:pPr>
    </w:p>
    <w:p>
      <w:pPr>
        <w:pStyle w:val="201"/>
      </w:pPr>
    </w:p>
    <w:p>
      <w:pPr>
        <w:pStyle w:val="78"/>
        <w:spacing w:after="120"/>
      </w:pPr>
      <w:bookmarkStart w:id="140" w:name="_Toc30103"/>
      <w:bookmarkStart w:id="141" w:name="_Toc26666"/>
      <w:r>
        <w:br w:type="textWrapping"/>
      </w:r>
      <w:r>
        <w:rPr>
          <w:rFonts w:hint="eastAsia"/>
        </w:rPr>
        <w:t>（规范性）</w:t>
      </w:r>
      <w:r>
        <w:br w:type="textWrapping"/>
      </w:r>
      <w:r>
        <w:rPr>
          <w:rFonts w:hint="eastAsia"/>
        </w:rPr>
        <w:t>码展示渠道代码编码规则</w:t>
      </w:r>
      <w:bookmarkEnd w:id="140"/>
      <w:bookmarkEnd w:id="141"/>
    </w:p>
    <w:p>
      <w:pPr>
        <w:pStyle w:val="58"/>
        <w:ind w:firstLine="420"/>
      </w:pPr>
      <w:r>
        <w:rPr>
          <w:rFonts w:hint="eastAsia"/>
        </w:rPr>
        <w:t>码展示渠道代码编码规则见表B.1。</w:t>
      </w:r>
    </w:p>
    <w:p>
      <w:pPr>
        <w:pStyle w:val="79"/>
        <w:spacing w:before="120" w:after="120"/>
      </w:pPr>
      <w:r>
        <w:rPr>
          <w:rFonts w:hint="eastAsia"/>
        </w:rPr>
        <w:t>码展示渠道代码编码规则</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bookmarkStart w:id="142" w:name="_Hlk176277829"/>
            <w:r>
              <w:rPr>
                <w:rFonts w:hint="eastAsia" w:ascii="黑体" w:hAnsi="黑体" w:eastAsia="黑体"/>
              </w:rPr>
              <w:t>码展示渠道名称</w:t>
            </w:r>
          </w:p>
        </w:tc>
        <w:tc>
          <w:tcPr>
            <w:tcW w:w="4667"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码展示渠道代码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pPr>
              <w:pStyle w:val="180"/>
            </w:pPr>
            <w:r>
              <w:rPr>
                <w:rFonts w:hint="eastAsia"/>
              </w:rPr>
              <w:t>国家全民健身信息服务平台A</w:t>
            </w:r>
            <w:r>
              <w:t>PP</w:t>
            </w:r>
            <w:r>
              <w:rPr>
                <w:rFonts w:hint="eastAsia"/>
              </w:rPr>
              <w:t>端</w:t>
            </w:r>
          </w:p>
        </w:tc>
        <w:tc>
          <w:tcPr>
            <w:tcW w:w="4667" w:type="dxa"/>
            <w:tcBorders>
              <w:top w:val="single" w:color="auto" w:sz="8" w:space="0"/>
            </w:tcBorders>
            <w:shd w:val="clear" w:color="auto" w:fill="auto"/>
            <w:vAlign w:val="center"/>
          </w:tcPr>
          <w:p>
            <w:pPr>
              <w:pStyle w:val="180"/>
            </w:pPr>
            <w:r>
              <w:rPr>
                <w:rFonts w:hint="eastAsia"/>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80"/>
            </w:pPr>
            <w:r>
              <w:rPr>
                <w:rFonts w:hint="eastAsia"/>
              </w:rPr>
              <w:t>国家全民健身信息服务平台微信小程序端</w:t>
            </w:r>
          </w:p>
        </w:tc>
        <w:tc>
          <w:tcPr>
            <w:tcW w:w="4667" w:type="dxa"/>
            <w:shd w:val="clear" w:color="auto" w:fill="auto"/>
            <w:vAlign w:val="center"/>
          </w:tcPr>
          <w:p>
            <w:pPr>
              <w:pStyle w:val="180"/>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667" w:type="dxa"/>
            <w:shd w:val="clear" w:color="auto" w:fill="auto"/>
            <w:vAlign w:val="center"/>
          </w:tcPr>
          <w:p>
            <w:pPr>
              <w:pStyle w:val="180"/>
            </w:pPr>
            <w:r>
              <w:rPr>
                <w:rFonts w:hint="eastAsia"/>
              </w:rPr>
              <w:t>国家全民健身信息服务平台支付宝小程序端</w:t>
            </w:r>
          </w:p>
        </w:tc>
        <w:tc>
          <w:tcPr>
            <w:tcW w:w="4667" w:type="dxa"/>
            <w:shd w:val="clear" w:color="auto" w:fill="auto"/>
            <w:vAlign w:val="center"/>
          </w:tcPr>
          <w:p>
            <w:pPr>
              <w:pStyle w:val="180"/>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80"/>
            </w:pPr>
            <w:r>
              <w:rPr>
                <w:rFonts w:hint="eastAsia"/>
              </w:rPr>
              <w:t>省级全民健身信息服务平台APP端</w:t>
            </w:r>
          </w:p>
        </w:tc>
        <w:tc>
          <w:tcPr>
            <w:tcW w:w="4667" w:type="dxa"/>
            <w:shd w:val="clear" w:color="auto" w:fill="auto"/>
            <w:vAlign w:val="center"/>
          </w:tcPr>
          <w:p>
            <w:pPr>
              <w:pStyle w:val="180"/>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80"/>
            </w:pPr>
            <w:r>
              <w:rPr>
                <w:rFonts w:hint="eastAsia"/>
              </w:rPr>
              <w:t>省级全民健身信息服务平台微信小程序端</w:t>
            </w:r>
          </w:p>
        </w:tc>
        <w:tc>
          <w:tcPr>
            <w:tcW w:w="4667" w:type="dxa"/>
            <w:shd w:val="clear" w:color="auto" w:fill="auto"/>
            <w:vAlign w:val="center"/>
          </w:tcPr>
          <w:p>
            <w:pPr>
              <w:pStyle w:val="180"/>
            </w:pP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80"/>
            </w:pPr>
            <w:r>
              <w:rPr>
                <w:rFonts w:hint="eastAsia"/>
              </w:rPr>
              <w:t>省级全民健身信息服务平台支付宝小程序端</w:t>
            </w:r>
          </w:p>
        </w:tc>
        <w:tc>
          <w:tcPr>
            <w:tcW w:w="4667" w:type="dxa"/>
            <w:shd w:val="clear" w:color="auto" w:fill="auto"/>
            <w:vAlign w:val="center"/>
          </w:tcPr>
          <w:p>
            <w:pPr>
              <w:pStyle w:val="180"/>
            </w:pP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667" w:type="dxa"/>
            <w:shd w:val="clear" w:color="auto" w:fill="auto"/>
            <w:vAlign w:val="center"/>
          </w:tcPr>
          <w:p>
            <w:pPr>
              <w:pStyle w:val="180"/>
            </w:pPr>
            <w:r>
              <w:rPr>
                <w:rFonts w:hint="eastAsia"/>
              </w:rPr>
              <w:t>其他渠道</w:t>
            </w:r>
          </w:p>
        </w:tc>
        <w:tc>
          <w:tcPr>
            <w:tcW w:w="4667" w:type="dxa"/>
            <w:shd w:val="clear" w:color="auto" w:fill="auto"/>
            <w:vAlign w:val="center"/>
          </w:tcPr>
          <w:p>
            <w:pPr>
              <w:pStyle w:val="180"/>
            </w:pPr>
            <w:r>
              <w:rPr>
                <w:rFonts w:hint="eastAsia"/>
              </w:rPr>
              <w:t>9</w:t>
            </w:r>
          </w:p>
        </w:tc>
      </w:tr>
      <w:bookmarkEnd w:id="142"/>
    </w:tbl>
    <w:p>
      <w:pPr>
        <w:pStyle w:val="58"/>
        <w:ind w:firstLine="0" w:firstLineChars="0"/>
      </w:pPr>
    </w:p>
    <w:p>
      <w:pPr>
        <w:pStyle w:val="58"/>
        <w:ind w:firstLine="0" w:firstLineChars="0"/>
      </w:pPr>
    </w:p>
    <w:p>
      <w:pPr>
        <w:pStyle w:val="58"/>
        <w:ind w:firstLine="420"/>
        <w:sectPr>
          <w:pgSz w:w="11906" w:h="16838"/>
          <w:pgMar w:top="1928" w:right="1134" w:bottom="1134" w:left="1134" w:header="1418" w:footer="1134" w:gutter="284"/>
          <w:cols w:space="425" w:num="1"/>
          <w:formProt w:val="0"/>
          <w:docGrid w:linePitch="312" w:charSpace="0"/>
        </w:sectPr>
      </w:pPr>
    </w:p>
    <w:p>
      <w:pPr>
        <w:pStyle w:val="200"/>
        <w:numPr>
          <w:ilvl w:val="0"/>
          <w:numId w:val="0"/>
        </w:numPr>
        <w:ind w:left="420"/>
        <w:jc w:val="both"/>
        <w:rPr>
          <w:rFonts w:ascii="宋体" w:hAnsi="Times New Roman" w:eastAsia="宋体"/>
          <w:vanish w:val="0"/>
          <w:sz w:val="21"/>
          <w:szCs w:val="20"/>
        </w:rPr>
      </w:pPr>
    </w:p>
    <w:p>
      <w:pPr>
        <w:pStyle w:val="201"/>
      </w:pPr>
    </w:p>
    <w:p>
      <w:pPr>
        <w:pStyle w:val="78"/>
        <w:spacing w:after="120"/>
      </w:pPr>
      <w:bookmarkStart w:id="143" w:name="_Toc8922"/>
      <w:bookmarkStart w:id="144" w:name="_Toc19456"/>
      <w:r>
        <w:br w:type="textWrapping"/>
      </w:r>
      <w:r>
        <w:rPr>
          <w:rFonts w:hint="eastAsia"/>
        </w:rPr>
        <w:t>（规范性）</w:t>
      </w:r>
      <w:r>
        <w:br w:type="textWrapping"/>
      </w:r>
      <w:bookmarkStart w:id="145" w:name="_Hlk176277793"/>
      <w:r>
        <w:rPr>
          <w:rFonts w:hint="eastAsia"/>
        </w:rPr>
        <w:t>主体类别代码编码规则</w:t>
      </w:r>
      <w:bookmarkEnd w:id="143"/>
      <w:bookmarkEnd w:id="144"/>
      <w:bookmarkEnd w:id="145"/>
    </w:p>
    <w:p>
      <w:pPr>
        <w:pStyle w:val="58"/>
        <w:ind w:firstLine="420"/>
      </w:pPr>
      <w:r>
        <w:rPr>
          <w:rFonts w:hint="eastAsia"/>
        </w:rPr>
        <w:t>主体类别代码编码规则见表C.1。</w:t>
      </w:r>
    </w:p>
    <w:p>
      <w:pPr>
        <w:pStyle w:val="79"/>
        <w:spacing w:before="120" w:after="120"/>
      </w:pPr>
      <w:r>
        <w:rPr>
          <w:rFonts w:hint="eastAsia"/>
        </w:rPr>
        <w:t>主体类别代码编码规则</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pPr>
              <w:pStyle w:val="180"/>
            </w:pPr>
            <w:r>
              <w:rPr>
                <w:rFonts w:hint="eastAsia"/>
              </w:rPr>
              <w:t>主体类别代码名称</w:t>
            </w:r>
          </w:p>
        </w:tc>
        <w:tc>
          <w:tcPr>
            <w:tcW w:w="4667" w:type="dxa"/>
            <w:tcBorders>
              <w:top w:val="single" w:color="auto" w:sz="8" w:space="0"/>
              <w:bottom w:val="single" w:color="auto" w:sz="8" w:space="0"/>
            </w:tcBorders>
            <w:shd w:val="clear" w:color="auto" w:fill="auto"/>
            <w:vAlign w:val="center"/>
          </w:tcPr>
          <w:p>
            <w:pPr>
              <w:pStyle w:val="180"/>
            </w:pPr>
            <w:r>
              <w:rPr>
                <w:rFonts w:hint="eastAsia"/>
              </w:rPr>
              <w:t>主体类别代码编码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pPr>
              <w:pStyle w:val="180"/>
            </w:pPr>
            <w:r>
              <w:rPr>
                <w:rFonts w:hint="eastAsia"/>
              </w:rPr>
              <w:t>个人运动码</w:t>
            </w:r>
          </w:p>
        </w:tc>
        <w:tc>
          <w:tcPr>
            <w:tcW w:w="4667" w:type="dxa"/>
            <w:tcBorders>
              <w:top w:val="single" w:color="auto" w:sz="8" w:space="0"/>
            </w:tcBorders>
            <w:shd w:val="clear" w:color="auto" w:fill="auto"/>
            <w:vAlign w:val="center"/>
          </w:tcPr>
          <w:p>
            <w:pPr>
              <w:pStyle w:val="180"/>
            </w:pPr>
            <w:r>
              <w:rPr>
                <w:rFonts w:hint="eastAsia"/>
              </w:rPr>
              <w:t>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80"/>
            </w:pPr>
            <w:r>
              <w:rPr>
                <w:rFonts w:hint="eastAsia"/>
              </w:rPr>
              <w:t>场馆码</w:t>
            </w:r>
          </w:p>
        </w:tc>
        <w:tc>
          <w:tcPr>
            <w:tcW w:w="4667" w:type="dxa"/>
            <w:shd w:val="clear" w:color="auto" w:fill="auto"/>
            <w:vAlign w:val="center"/>
          </w:tcPr>
          <w:p>
            <w:pPr>
              <w:pStyle w:val="180"/>
            </w:pPr>
            <w:r>
              <w:rPr>
                <w:rFonts w:hint="eastAsia"/>
              </w:rPr>
              <w:t>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667" w:type="dxa"/>
            <w:shd w:val="clear" w:color="auto" w:fill="auto"/>
            <w:vAlign w:val="center"/>
          </w:tcPr>
          <w:p>
            <w:pPr>
              <w:pStyle w:val="180"/>
            </w:pPr>
            <w:r>
              <w:rPr>
                <w:rFonts w:hint="eastAsia"/>
              </w:rPr>
              <w:t>器材码</w:t>
            </w:r>
          </w:p>
        </w:tc>
        <w:tc>
          <w:tcPr>
            <w:tcW w:w="4667" w:type="dxa"/>
            <w:shd w:val="clear" w:color="auto" w:fill="auto"/>
            <w:vAlign w:val="center"/>
          </w:tcPr>
          <w:p>
            <w:pPr>
              <w:pStyle w:val="180"/>
            </w:pPr>
            <w:r>
              <w:rPr>
                <w:rFonts w:hint="eastAsia"/>
              </w:rPr>
              <w:t>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80"/>
            </w:pPr>
            <w:r>
              <w:rPr>
                <w:rFonts w:hint="eastAsia"/>
              </w:rPr>
              <w:t>赛事码</w:t>
            </w:r>
          </w:p>
        </w:tc>
        <w:tc>
          <w:tcPr>
            <w:tcW w:w="4667" w:type="dxa"/>
            <w:shd w:val="clear" w:color="auto" w:fill="auto"/>
            <w:vAlign w:val="center"/>
          </w:tcPr>
          <w:p>
            <w:pPr>
              <w:pStyle w:val="180"/>
            </w:pPr>
            <w:r>
              <w:rPr>
                <w:rFonts w:hint="eastAsia"/>
              </w:rPr>
              <w:t>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80"/>
            </w:pPr>
            <w:r>
              <w:rPr>
                <w:rFonts w:hint="eastAsia"/>
              </w:rPr>
              <w:t>活动码</w:t>
            </w:r>
          </w:p>
        </w:tc>
        <w:tc>
          <w:tcPr>
            <w:tcW w:w="4667" w:type="dxa"/>
            <w:shd w:val="clear" w:color="auto" w:fill="auto"/>
            <w:vAlign w:val="center"/>
          </w:tcPr>
          <w:p>
            <w:pPr>
              <w:pStyle w:val="180"/>
            </w:pPr>
            <w:r>
              <w:rPr>
                <w:rFonts w:hint="eastAsia"/>
              </w:rPr>
              <w:t>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80"/>
            </w:pPr>
            <w:r>
              <w:rPr>
                <w:rFonts w:hint="eastAsia"/>
              </w:rPr>
              <w:t>培训码</w:t>
            </w:r>
          </w:p>
        </w:tc>
        <w:tc>
          <w:tcPr>
            <w:tcW w:w="4667" w:type="dxa"/>
            <w:shd w:val="clear" w:color="auto" w:fill="auto"/>
            <w:vAlign w:val="center"/>
          </w:tcPr>
          <w:p>
            <w:pPr>
              <w:pStyle w:val="180"/>
            </w:pPr>
            <w:r>
              <w:rPr>
                <w:rFonts w:hint="eastAsia"/>
              </w:rPr>
              <w:t>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667" w:type="dxa"/>
            <w:shd w:val="clear" w:color="auto" w:fill="auto"/>
            <w:vAlign w:val="center"/>
          </w:tcPr>
          <w:p>
            <w:pPr>
              <w:pStyle w:val="180"/>
            </w:pPr>
            <w:r>
              <w:rPr>
                <w:rFonts w:hint="eastAsia"/>
              </w:rPr>
              <w:t>其他</w:t>
            </w:r>
          </w:p>
        </w:tc>
        <w:tc>
          <w:tcPr>
            <w:tcW w:w="4667" w:type="dxa"/>
            <w:shd w:val="clear" w:color="auto" w:fill="auto"/>
            <w:vAlign w:val="center"/>
          </w:tcPr>
          <w:p>
            <w:pPr>
              <w:pStyle w:val="180"/>
            </w:pPr>
            <w:r>
              <w:rPr>
                <w:rFonts w:hint="eastAsia"/>
              </w:rPr>
              <w:t>99</w:t>
            </w:r>
          </w:p>
        </w:tc>
      </w:tr>
    </w:tbl>
    <w:p>
      <w:pPr>
        <w:pStyle w:val="58"/>
        <w:ind w:firstLine="420"/>
      </w:pPr>
    </w:p>
    <w:bookmarkEnd w:id="137"/>
    <w:p>
      <w:pPr>
        <w:pStyle w:val="58"/>
        <w:ind w:firstLine="0" w:firstLineChars="0"/>
        <w:jc w:val="center"/>
      </w:pPr>
      <w:bookmarkStart w:id="146"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146"/>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Light">
    <w:altName w:val="华文仿宋"/>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rPr>
        <w:rFonts w:hint="eastAsia"/>
      </w:rPr>
    </w:pPr>
    <w:r>
      <w:fldChar w:fldCharType="begin"/>
    </w:r>
    <w:r>
      <w:instrText xml:space="preserve"> STYLEREF  标准文件_文件编号  \* MERGEFORMAT </w:instrText>
    </w:r>
    <w:r>
      <w:fldChar w:fldCharType="separate"/>
    </w:r>
    <w:r>
      <w:rPr>
        <w:rFonts w:hint="eastAsia"/>
      </w:rPr>
      <w:t>TY/T XXXXX—XXXX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fldChar w:fldCharType="begin"/>
    </w:r>
    <w:r>
      <w:instrText xml:space="preserve"> STYLEREF  标准文件_文件编号  \* MERGEFORMAT </w:instrText>
    </w:r>
    <w:r>
      <w:fldChar w:fldCharType="separate"/>
    </w:r>
    <w:r>
      <w:t>TY/T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dit="forms" w:enforcement="0"/>
  <w:defaultTabStop w:val="420"/>
  <w:drawingGridHorizontalSpacing w:val="105"/>
  <w:drawingGridVerticalSpacing w:val="156"/>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k3NzlmNDQyNWQwMmUyMWEyYjcxYjNmYWEzMDQzMjcifQ=="/>
  </w:docVars>
  <w:rsids>
    <w:rsidRoot w:val="003D1994"/>
    <w:rsid w:val="0000040A"/>
    <w:rsid w:val="00000A94"/>
    <w:rsid w:val="00001972"/>
    <w:rsid w:val="00001D9A"/>
    <w:rsid w:val="00003C19"/>
    <w:rsid w:val="00005389"/>
    <w:rsid w:val="00007B3A"/>
    <w:rsid w:val="000107E0"/>
    <w:rsid w:val="00011FDE"/>
    <w:rsid w:val="00012FFD"/>
    <w:rsid w:val="00014162"/>
    <w:rsid w:val="00014340"/>
    <w:rsid w:val="00016A9C"/>
    <w:rsid w:val="00022184"/>
    <w:rsid w:val="00022762"/>
    <w:rsid w:val="000238E0"/>
    <w:rsid w:val="000249DB"/>
    <w:rsid w:val="0002595E"/>
    <w:rsid w:val="000303C3"/>
    <w:rsid w:val="00030734"/>
    <w:rsid w:val="000331D3"/>
    <w:rsid w:val="00034156"/>
    <w:rsid w:val="000346A5"/>
    <w:rsid w:val="000359C3"/>
    <w:rsid w:val="00035A7D"/>
    <w:rsid w:val="000410E8"/>
    <w:rsid w:val="00041C11"/>
    <w:rsid w:val="0004249A"/>
    <w:rsid w:val="00043282"/>
    <w:rsid w:val="00044286"/>
    <w:rsid w:val="00044532"/>
    <w:rsid w:val="00047F28"/>
    <w:rsid w:val="00047F8C"/>
    <w:rsid w:val="000503AA"/>
    <w:rsid w:val="000506A1"/>
    <w:rsid w:val="000515DD"/>
    <w:rsid w:val="00052243"/>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6DDF"/>
    <w:rsid w:val="00087A77"/>
    <w:rsid w:val="00090CA6"/>
    <w:rsid w:val="00092B8A"/>
    <w:rsid w:val="00092FB0"/>
    <w:rsid w:val="000934C5"/>
    <w:rsid w:val="00093D25"/>
    <w:rsid w:val="00093DAB"/>
    <w:rsid w:val="00094D73"/>
    <w:rsid w:val="00096D63"/>
    <w:rsid w:val="000A0B60"/>
    <w:rsid w:val="000A0EB8"/>
    <w:rsid w:val="000A19FC"/>
    <w:rsid w:val="000A296B"/>
    <w:rsid w:val="000A29B0"/>
    <w:rsid w:val="000A3DBE"/>
    <w:rsid w:val="000A6020"/>
    <w:rsid w:val="000A7311"/>
    <w:rsid w:val="000A7F50"/>
    <w:rsid w:val="000B060F"/>
    <w:rsid w:val="000B1592"/>
    <w:rsid w:val="000B1FF2"/>
    <w:rsid w:val="000B3CDA"/>
    <w:rsid w:val="000B6A0B"/>
    <w:rsid w:val="000B7878"/>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1B2B"/>
    <w:rsid w:val="000E4C9E"/>
    <w:rsid w:val="000E6FD7"/>
    <w:rsid w:val="000F06E1"/>
    <w:rsid w:val="000F0E3C"/>
    <w:rsid w:val="000F19D5"/>
    <w:rsid w:val="000F4AEA"/>
    <w:rsid w:val="000F67E9"/>
    <w:rsid w:val="00104926"/>
    <w:rsid w:val="00113B1E"/>
    <w:rsid w:val="0011711C"/>
    <w:rsid w:val="00124985"/>
    <w:rsid w:val="00124E4F"/>
    <w:rsid w:val="001260B7"/>
    <w:rsid w:val="001265CB"/>
    <w:rsid w:val="0013004F"/>
    <w:rsid w:val="001321C6"/>
    <w:rsid w:val="001325C4"/>
    <w:rsid w:val="00133010"/>
    <w:rsid w:val="001338EE"/>
    <w:rsid w:val="00133AAE"/>
    <w:rsid w:val="00135323"/>
    <w:rsid w:val="001356C4"/>
    <w:rsid w:val="00141114"/>
    <w:rsid w:val="00141C9F"/>
    <w:rsid w:val="00142969"/>
    <w:rsid w:val="001457E7"/>
    <w:rsid w:val="00145D9D"/>
    <w:rsid w:val="00146388"/>
    <w:rsid w:val="001529E5"/>
    <w:rsid w:val="00153C7E"/>
    <w:rsid w:val="001569B1"/>
    <w:rsid w:val="00156B25"/>
    <w:rsid w:val="00156E1A"/>
    <w:rsid w:val="00157B55"/>
    <w:rsid w:val="001642FA"/>
    <w:rsid w:val="001649EB"/>
    <w:rsid w:val="00164BAF"/>
    <w:rsid w:val="00164FA8"/>
    <w:rsid w:val="00165065"/>
    <w:rsid w:val="00165434"/>
    <w:rsid w:val="0016580B"/>
    <w:rsid w:val="00165F49"/>
    <w:rsid w:val="001662A8"/>
    <w:rsid w:val="00166B88"/>
    <w:rsid w:val="0016770A"/>
    <w:rsid w:val="00170804"/>
    <w:rsid w:val="001708E9"/>
    <w:rsid w:val="0017340B"/>
    <w:rsid w:val="00173FB1"/>
    <w:rsid w:val="00176DFD"/>
    <w:rsid w:val="001852C9"/>
    <w:rsid w:val="00190087"/>
    <w:rsid w:val="001913C4"/>
    <w:rsid w:val="0019348F"/>
    <w:rsid w:val="00193A07"/>
    <w:rsid w:val="00193B73"/>
    <w:rsid w:val="00194C95"/>
    <w:rsid w:val="00195C34"/>
    <w:rsid w:val="001A1A53"/>
    <w:rsid w:val="001A234A"/>
    <w:rsid w:val="001B0237"/>
    <w:rsid w:val="001B06E8"/>
    <w:rsid w:val="001B193E"/>
    <w:rsid w:val="001B71D0"/>
    <w:rsid w:val="001B71EE"/>
    <w:rsid w:val="001C04A8"/>
    <w:rsid w:val="001C2C03"/>
    <w:rsid w:val="001C42F7"/>
    <w:rsid w:val="001C49E5"/>
    <w:rsid w:val="001C4F7F"/>
    <w:rsid w:val="001C680C"/>
    <w:rsid w:val="001C7FEA"/>
    <w:rsid w:val="001D0499"/>
    <w:rsid w:val="001D0890"/>
    <w:rsid w:val="001D0BBE"/>
    <w:rsid w:val="001D0ED4"/>
    <w:rsid w:val="001D16F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F2C"/>
    <w:rsid w:val="00210B15"/>
    <w:rsid w:val="002133DB"/>
    <w:rsid w:val="002142EA"/>
    <w:rsid w:val="00216AC4"/>
    <w:rsid w:val="002204BB"/>
    <w:rsid w:val="00221B79"/>
    <w:rsid w:val="00221C6B"/>
    <w:rsid w:val="00224596"/>
    <w:rsid w:val="002253A1"/>
    <w:rsid w:val="00225CF8"/>
    <w:rsid w:val="0022718D"/>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148A"/>
    <w:rsid w:val="0026247C"/>
    <w:rsid w:val="00262696"/>
    <w:rsid w:val="002634BC"/>
    <w:rsid w:val="002643C3"/>
    <w:rsid w:val="00264A0C"/>
    <w:rsid w:val="00267B73"/>
    <w:rsid w:val="00267EF4"/>
    <w:rsid w:val="00270CB8"/>
    <w:rsid w:val="00272B08"/>
    <w:rsid w:val="00277641"/>
    <w:rsid w:val="00281BB8"/>
    <w:rsid w:val="00281E9E"/>
    <w:rsid w:val="00283AAA"/>
    <w:rsid w:val="00285170"/>
    <w:rsid w:val="00285361"/>
    <w:rsid w:val="00292D60"/>
    <w:rsid w:val="00294D34"/>
    <w:rsid w:val="00294E3B"/>
    <w:rsid w:val="00296193"/>
    <w:rsid w:val="002968F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4C23"/>
    <w:rsid w:val="002F7AF6"/>
    <w:rsid w:val="00300E63"/>
    <w:rsid w:val="00302F5F"/>
    <w:rsid w:val="0030441D"/>
    <w:rsid w:val="00306063"/>
    <w:rsid w:val="00313B85"/>
    <w:rsid w:val="00316AFC"/>
    <w:rsid w:val="00317988"/>
    <w:rsid w:val="003221B4"/>
    <w:rsid w:val="00322E62"/>
    <w:rsid w:val="00324EDD"/>
    <w:rsid w:val="003331E4"/>
    <w:rsid w:val="00336C64"/>
    <w:rsid w:val="00337162"/>
    <w:rsid w:val="0034194F"/>
    <w:rsid w:val="00342DB8"/>
    <w:rsid w:val="003439FA"/>
    <w:rsid w:val="00344605"/>
    <w:rsid w:val="0034657A"/>
    <w:rsid w:val="003474AA"/>
    <w:rsid w:val="00350D1D"/>
    <w:rsid w:val="00351901"/>
    <w:rsid w:val="00352C83"/>
    <w:rsid w:val="00354973"/>
    <w:rsid w:val="003615D2"/>
    <w:rsid w:val="0036429C"/>
    <w:rsid w:val="00364A53"/>
    <w:rsid w:val="003654CB"/>
    <w:rsid w:val="00365F86"/>
    <w:rsid w:val="00365F87"/>
    <w:rsid w:val="003705F4"/>
    <w:rsid w:val="00370D58"/>
    <w:rsid w:val="00371316"/>
    <w:rsid w:val="00374904"/>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0BD9"/>
    <w:rsid w:val="003B1F18"/>
    <w:rsid w:val="003B5BF0"/>
    <w:rsid w:val="003B60BF"/>
    <w:rsid w:val="003B6BE3"/>
    <w:rsid w:val="003C010C"/>
    <w:rsid w:val="003C0A6C"/>
    <w:rsid w:val="003C1E71"/>
    <w:rsid w:val="003C2859"/>
    <w:rsid w:val="003C5A43"/>
    <w:rsid w:val="003D0519"/>
    <w:rsid w:val="003D0FF6"/>
    <w:rsid w:val="003D1994"/>
    <w:rsid w:val="003D262C"/>
    <w:rsid w:val="003D6D61"/>
    <w:rsid w:val="003E091D"/>
    <w:rsid w:val="003E1C53"/>
    <w:rsid w:val="003E2A69"/>
    <w:rsid w:val="003E2D49"/>
    <w:rsid w:val="003E2FD4"/>
    <w:rsid w:val="003E49F6"/>
    <w:rsid w:val="003F0841"/>
    <w:rsid w:val="003F23D3"/>
    <w:rsid w:val="003F2DD7"/>
    <w:rsid w:val="003F3F08"/>
    <w:rsid w:val="003F49F1"/>
    <w:rsid w:val="003F6272"/>
    <w:rsid w:val="003F72A3"/>
    <w:rsid w:val="00400E72"/>
    <w:rsid w:val="00401400"/>
    <w:rsid w:val="00404315"/>
    <w:rsid w:val="00404869"/>
    <w:rsid w:val="00405884"/>
    <w:rsid w:val="00407D39"/>
    <w:rsid w:val="0041477A"/>
    <w:rsid w:val="004167A3"/>
    <w:rsid w:val="00432DAA"/>
    <w:rsid w:val="00434305"/>
    <w:rsid w:val="00434FE8"/>
    <w:rsid w:val="00435DF7"/>
    <w:rsid w:val="0044083F"/>
    <w:rsid w:val="00441AE7"/>
    <w:rsid w:val="00445574"/>
    <w:rsid w:val="004467FB"/>
    <w:rsid w:val="00452D6B"/>
    <w:rsid w:val="00454484"/>
    <w:rsid w:val="004547DF"/>
    <w:rsid w:val="0045517B"/>
    <w:rsid w:val="004563CD"/>
    <w:rsid w:val="00463B77"/>
    <w:rsid w:val="00463C7B"/>
    <w:rsid w:val="00463F02"/>
    <w:rsid w:val="004644A6"/>
    <w:rsid w:val="004659BD"/>
    <w:rsid w:val="00470775"/>
    <w:rsid w:val="004715BD"/>
    <w:rsid w:val="004746B1"/>
    <w:rsid w:val="0047583F"/>
    <w:rsid w:val="0048294D"/>
    <w:rsid w:val="00484936"/>
    <w:rsid w:val="00485C89"/>
    <w:rsid w:val="00486BE3"/>
    <w:rsid w:val="004905E4"/>
    <w:rsid w:val="00490A89"/>
    <w:rsid w:val="00490AB4"/>
    <w:rsid w:val="00491784"/>
    <w:rsid w:val="004920D8"/>
    <w:rsid w:val="00492F02"/>
    <w:rsid w:val="004939AE"/>
    <w:rsid w:val="004A0BBF"/>
    <w:rsid w:val="004A12DF"/>
    <w:rsid w:val="004A1BA8"/>
    <w:rsid w:val="004A4AF5"/>
    <w:rsid w:val="004A4B57"/>
    <w:rsid w:val="004A63FA"/>
    <w:rsid w:val="004A70FA"/>
    <w:rsid w:val="004B0272"/>
    <w:rsid w:val="004B2701"/>
    <w:rsid w:val="004B2E1B"/>
    <w:rsid w:val="004B3E93"/>
    <w:rsid w:val="004C1FBC"/>
    <w:rsid w:val="004C3F1D"/>
    <w:rsid w:val="004C458D"/>
    <w:rsid w:val="004C7556"/>
    <w:rsid w:val="004C7E9D"/>
    <w:rsid w:val="004C7F67"/>
    <w:rsid w:val="004D076D"/>
    <w:rsid w:val="004D0EF1"/>
    <w:rsid w:val="004D147D"/>
    <w:rsid w:val="004D189E"/>
    <w:rsid w:val="004D2253"/>
    <w:rsid w:val="004D417B"/>
    <w:rsid w:val="004D4406"/>
    <w:rsid w:val="004D7C42"/>
    <w:rsid w:val="004E0465"/>
    <w:rsid w:val="004E127B"/>
    <w:rsid w:val="004E1C0A"/>
    <w:rsid w:val="004E3014"/>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689A"/>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358F"/>
    <w:rsid w:val="00555044"/>
    <w:rsid w:val="00561475"/>
    <w:rsid w:val="005617EB"/>
    <w:rsid w:val="0056487B"/>
    <w:rsid w:val="00564FB9"/>
    <w:rsid w:val="00573B10"/>
    <w:rsid w:val="00573D9E"/>
    <w:rsid w:val="005801E3"/>
    <w:rsid w:val="00581802"/>
    <w:rsid w:val="005836A8"/>
    <w:rsid w:val="0058409C"/>
    <w:rsid w:val="00584262"/>
    <w:rsid w:val="00586630"/>
    <w:rsid w:val="00587ADD"/>
    <w:rsid w:val="00593544"/>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4CA"/>
    <w:rsid w:val="005E3C18"/>
    <w:rsid w:val="005E581F"/>
    <w:rsid w:val="005E6318"/>
    <w:rsid w:val="005E6812"/>
    <w:rsid w:val="005E7829"/>
    <w:rsid w:val="005E7881"/>
    <w:rsid w:val="005E78E0"/>
    <w:rsid w:val="005F028D"/>
    <w:rsid w:val="005F0D9C"/>
    <w:rsid w:val="005F284E"/>
    <w:rsid w:val="006015CE"/>
    <w:rsid w:val="00604784"/>
    <w:rsid w:val="006059A7"/>
    <w:rsid w:val="00606419"/>
    <w:rsid w:val="00607D29"/>
    <w:rsid w:val="00612952"/>
    <w:rsid w:val="00614CC1"/>
    <w:rsid w:val="00615A9D"/>
    <w:rsid w:val="00617387"/>
    <w:rsid w:val="00617571"/>
    <w:rsid w:val="006252D8"/>
    <w:rsid w:val="006259BC"/>
    <w:rsid w:val="0062636B"/>
    <w:rsid w:val="00632182"/>
    <w:rsid w:val="00632AE0"/>
    <w:rsid w:val="00633C17"/>
    <w:rsid w:val="00636E3E"/>
    <w:rsid w:val="006379F7"/>
    <w:rsid w:val="00637E4D"/>
    <w:rsid w:val="00640620"/>
    <w:rsid w:val="00641A1F"/>
    <w:rsid w:val="006427B4"/>
    <w:rsid w:val="00644A58"/>
    <w:rsid w:val="0064528D"/>
    <w:rsid w:val="00645904"/>
    <w:rsid w:val="00650874"/>
    <w:rsid w:val="00651ACB"/>
    <w:rsid w:val="00651C47"/>
    <w:rsid w:val="00652AB2"/>
    <w:rsid w:val="00654EC0"/>
    <w:rsid w:val="0065525B"/>
    <w:rsid w:val="00655D4F"/>
    <w:rsid w:val="006640E5"/>
    <w:rsid w:val="006646F1"/>
    <w:rsid w:val="00664929"/>
    <w:rsid w:val="00664F62"/>
    <w:rsid w:val="006655E1"/>
    <w:rsid w:val="00667398"/>
    <w:rsid w:val="00672060"/>
    <w:rsid w:val="00672BFD"/>
    <w:rsid w:val="006770F4"/>
    <w:rsid w:val="00677A84"/>
    <w:rsid w:val="0068026D"/>
    <w:rsid w:val="006802A5"/>
    <w:rsid w:val="00680A27"/>
    <w:rsid w:val="006816A4"/>
    <w:rsid w:val="006819B8"/>
    <w:rsid w:val="006840A6"/>
    <w:rsid w:val="006850CD"/>
    <w:rsid w:val="00685AAB"/>
    <w:rsid w:val="006A07AA"/>
    <w:rsid w:val="006A25E5"/>
    <w:rsid w:val="006A2B46"/>
    <w:rsid w:val="006A2CED"/>
    <w:rsid w:val="006A336D"/>
    <w:rsid w:val="006A37B9"/>
    <w:rsid w:val="006B2672"/>
    <w:rsid w:val="006B54BF"/>
    <w:rsid w:val="006B5F44"/>
    <w:rsid w:val="006B5F90"/>
    <w:rsid w:val="006B62E4"/>
    <w:rsid w:val="006B7562"/>
    <w:rsid w:val="006C1BBA"/>
    <w:rsid w:val="006C2079"/>
    <w:rsid w:val="006C317D"/>
    <w:rsid w:val="006C50E6"/>
    <w:rsid w:val="006C5A62"/>
    <w:rsid w:val="006C5D68"/>
    <w:rsid w:val="006C6976"/>
    <w:rsid w:val="006C6DD0"/>
    <w:rsid w:val="006D04EA"/>
    <w:rsid w:val="006D16C4"/>
    <w:rsid w:val="006D3E96"/>
    <w:rsid w:val="006D4515"/>
    <w:rsid w:val="006D4BB1"/>
    <w:rsid w:val="006D6593"/>
    <w:rsid w:val="006D686E"/>
    <w:rsid w:val="006D78A1"/>
    <w:rsid w:val="006F03A8"/>
    <w:rsid w:val="006F126C"/>
    <w:rsid w:val="006F2ACA"/>
    <w:rsid w:val="006F2ADC"/>
    <w:rsid w:val="006F2BFE"/>
    <w:rsid w:val="006F31E9"/>
    <w:rsid w:val="006F54E8"/>
    <w:rsid w:val="006F56E5"/>
    <w:rsid w:val="006F6284"/>
    <w:rsid w:val="007002C5"/>
    <w:rsid w:val="0070348B"/>
    <w:rsid w:val="00704387"/>
    <w:rsid w:val="00706C2B"/>
    <w:rsid w:val="00707669"/>
    <w:rsid w:val="0071086B"/>
    <w:rsid w:val="00711CBA"/>
    <w:rsid w:val="00711FB5"/>
    <w:rsid w:val="00712A01"/>
    <w:rsid w:val="00714F58"/>
    <w:rsid w:val="00715A29"/>
    <w:rsid w:val="00716F1F"/>
    <w:rsid w:val="0072136B"/>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62F"/>
    <w:rsid w:val="00750EE1"/>
    <w:rsid w:val="00752B4D"/>
    <w:rsid w:val="00755402"/>
    <w:rsid w:val="00756B26"/>
    <w:rsid w:val="00756EDF"/>
    <w:rsid w:val="00765C43"/>
    <w:rsid w:val="00765EFB"/>
    <w:rsid w:val="0076610A"/>
    <w:rsid w:val="007671CA"/>
    <w:rsid w:val="0076744F"/>
    <w:rsid w:val="00767C61"/>
    <w:rsid w:val="0077008A"/>
    <w:rsid w:val="00773C1F"/>
    <w:rsid w:val="00774DA4"/>
    <w:rsid w:val="00776599"/>
    <w:rsid w:val="0078114B"/>
    <w:rsid w:val="00781DD2"/>
    <w:rsid w:val="00782064"/>
    <w:rsid w:val="00783ECF"/>
    <w:rsid w:val="0078413A"/>
    <w:rsid w:val="007844E5"/>
    <w:rsid w:val="007959E8"/>
    <w:rsid w:val="00795E9C"/>
    <w:rsid w:val="007A0521"/>
    <w:rsid w:val="007A2E12"/>
    <w:rsid w:val="007A3475"/>
    <w:rsid w:val="007A3611"/>
    <w:rsid w:val="007A41C8"/>
    <w:rsid w:val="007A54CE"/>
    <w:rsid w:val="007A6FD9"/>
    <w:rsid w:val="007A7FFA"/>
    <w:rsid w:val="007B04EB"/>
    <w:rsid w:val="007B0D4F"/>
    <w:rsid w:val="007B2229"/>
    <w:rsid w:val="007B2CD6"/>
    <w:rsid w:val="007B4DC4"/>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E70F5"/>
    <w:rsid w:val="007F0ED8"/>
    <w:rsid w:val="007F0F63"/>
    <w:rsid w:val="007F3748"/>
    <w:rsid w:val="007F75CE"/>
    <w:rsid w:val="008013A4"/>
    <w:rsid w:val="008027CE"/>
    <w:rsid w:val="00802F42"/>
    <w:rsid w:val="00804383"/>
    <w:rsid w:val="00804BB7"/>
    <w:rsid w:val="00810257"/>
    <w:rsid w:val="008104F5"/>
    <w:rsid w:val="0081079C"/>
    <w:rsid w:val="00811072"/>
    <w:rsid w:val="00811369"/>
    <w:rsid w:val="00813652"/>
    <w:rsid w:val="00815419"/>
    <w:rsid w:val="00815FF8"/>
    <w:rsid w:val="008163C8"/>
    <w:rsid w:val="008164A1"/>
    <w:rsid w:val="00817325"/>
    <w:rsid w:val="008209E6"/>
    <w:rsid w:val="00823303"/>
    <w:rsid w:val="008233B2"/>
    <w:rsid w:val="00823A9F"/>
    <w:rsid w:val="00823C85"/>
    <w:rsid w:val="00823F2A"/>
    <w:rsid w:val="00825138"/>
    <w:rsid w:val="008269DD"/>
    <w:rsid w:val="00830621"/>
    <w:rsid w:val="0083348C"/>
    <w:rsid w:val="008373D3"/>
    <w:rsid w:val="00840617"/>
    <w:rsid w:val="00842A47"/>
    <w:rsid w:val="00843C13"/>
    <w:rsid w:val="008454F8"/>
    <w:rsid w:val="00847DF5"/>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73BFA"/>
    <w:rsid w:val="008768D4"/>
    <w:rsid w:val="00880C1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1BD1"/>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529F"/>
    <w:rsid w:val="009062E6"/>
    <w:rsid w:val="00911BE5"/>
    <w:rsid w:val="00913826"/>
    <w:rsid w:val="00913CA9"/>
    <w:rsid w:val="009145AE"/>
    <w:rsid w:val="009146CE"/>
    <w:rsid w:val="00914CA7"/>
    <w:rsid w:val="00915C3E"/>
    <w:rsid w:val="009161A8"/>
    <w:rsid w:val="009245F5"/>
    <w:rsid w:val="009249EC"/>
    <w:rsid w:val="009273B3"/>
    <w:rsid w:val="009305B5"/>
    <w:rsid w:val="00941FA3"/>
    <w:rsid w:val="009429D5"/>
    <w:rsid w:val="00942BF1"/>
    <w:rsid w:val="009449FB"/>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782"/>
    <w:rsid w:val="0099551B"/>
    <w:rsid w:val="00996221"/>
    <w:rsid w:val="009962E3"/>
    <w:rsid w:val="00997BF1"/>
    <w:rsid w:val="009A089C"/>
    <w:rsid w:val="009A118E"/>
    <w:rsid w:val="009A21CD"/>
    <w:rsid w:val="009A278C"/>
    <w:rsid w:val="009A2BC2"/>
    <w:rsid w:val="009A42C1"/>
    <w:rsid w:val="009A5429"/>
    <w:rsid w:val="009A72AD"/>
    <w:rsid w:val="009B09E0"/>
    <w:rsid w:val="009B0BC5"/>
    <w:rsid w:val="009B1247"/>
    <w:rsid w:val="009B6029"/>
    <w:rsid w:val="009B6464"/>
    <w:rsid w:val="009B6971"/>
    <w:rsid w:val="009C27F1"/>
    <w:rsid w:val="009C3152"/>
    <w:rsid w:val="009C4CFA"/>
    <w:rsid w:val="009C5070"/>
    <w:rsid w:val="009C686C"/>
    <w:rsid w:val="009D112C"/>
    <w:rsid w:val="009D4786"/>
    <w:rsid w:val="009D47FA"/>
    <w:rsid w:val="009D50D2"/>
    <w:rsid w:val="009D6BCA"/>
    <w:rsid w:val="009D72B9"/>
    <w:rsid w:val="009D7519"/>
    <w:rsid w:val="009E0F62"/>
    <w:rsid w:val="009E1848"/>
    <w:rsid w:val="009E4A58"/>
    <w:rsid w:val="009E5A2D"/>
    <w:rsid w:val="009E5AB2"/>
    <w:rsid w:val="009E6219"/>
    <w:rsid w:val="009F03B3"/>
    <w:rsid w:val="00A0121E"/>
    <w:rsid w:val="00A015DF"/>
    <w:rsid w:val="00A01757"/>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47B0C"/>
    <w:rsid w:val="00A550F9"/>
    <w:rsid w:val="00A55BD6"/>
    <w:rsid w:val="00A55D50"/>
    <w:rsid w:val="00A5608C"/>
    <w:rsid w:val="00A57142"/>
    <w:rsid w:val="00A61D48"/>
    <w:rsid w:val="00A648CD"/>
    <w:rsid w:val="00A6537A"/>
    <w:rsid w:val="00A67866"/>
    <w:rsid w:val="00A70B07"/>
    <w:rsid w:val="00A723F8"/>
    <w:rsid w:val="00A747DD"/>
    <w:rsid w:val="00A77CCB"/>
    <w:rsid w:val="00A83D8D"/>
    <w:rsid w:val="00A83E19"/>
    <w:rsid w:val="00A8446B"/>
    <w:rsid w:val="00A845BF"/>
    <w:rsid w:val="00A8473F"/>
    <w:rsid w:val="00A862D6"/>
    <w:rsid w:val="00A8715E"/>
    <w:rsid w:val="00A87647"/>
    <w:rsid w:val="00A9295B"/>
    <w:rsid w:val="00A93B09"/>
    <w:rsid w:val="00A952D7"/>
    <w:rsid w:val="00A963F7"/>
    <w:rsid w:val="00A96AD8"/>
    <w:rsid w:val="00AA052C"/>
    <w:rsid w:val="00AA1E45"/>
    <w:rsid w:val="00AA30E6"/>
    <w:rsid w:val="00AA316F"/>
    <w:rsid w:val="00AA4286"/>
    <w:rsid w:val="00AA456B"/>
    <w:rsid w:val="00AA57F5"/>
    <w:rsid w:val="00AA672E"/>
    <w:rsid w:val="00AA6EC9"/>
    <w:rsid w:val="00AB6309"/>
    <w:rsid w:val="00AB6C5F"/>
    <w:rsid w:val="00AB7129"/>
    <w:rsid w:val="00AC27A6"/>
    <w:rsid w:val="00AC30F7"/>
    <w:rsid w:val="00AC3A5A"/>
    <w:rsid w:val="00AC4B06"/>
    <w:rsid w:val="00AC4D95"/>
    <w:rsid w:val="00AC5DF4"/>
    <w:rsid w:val="00AC6CC7"/>
    <w:rsid w:val="00AD0AEF"/>
    <w:rsid w:val="00AD11B7"/>
    <w:rsid w:val="00AD1A94"/>
    <w:rsid w:val="00AD1C05"/>
    <w:rsid w:val="00AD4126"/>
    <w:rsid w:val="00AD421C"/>
    <w:rsid w:val="00AD44FA"/>
    <w:rsid w:val="00AD5D89"/>
    <w:rsid w:val="00AE070A"/>
    <w:rsid w:val="00AE101C"/>
    <w:rsid w:val="00AE1485"/>
    <w:rsid w:val="00AE232F"/>
    <w:rsid w:val="00AE5C5A"/>
    <w:rsid w:val="00AE5EB4"/>
    <w:rsid w:val="00AF0C18"/>
    <w:rsid w:val="00AF47C5"/>
    <w:rsid w:val="00AF5398"/>
    <w:rsid w:val="00AF7949"/>
    <w:rsid w:val="00B010A0"/>
    <w:rsid w:val="00B049AF"/>
    <w:rsid w:val="00B07242"/>
    <w:rsid w:val="00B10534"/>
    <w:rsid w:val="00B113DB"/>
    <w:rsid w:val="00B11D8A"/>
    <w:rsid w:val="00B12981"/>
    <w:rsid w:val="00B12C16"/>
    <w:rsid w:val="00B147DD"/>
    <w:rsid w:val="00B156FD"/>
    <w:rsid w:val="00B16641"/>
    <w:rsid w:val="00B21F61"/>
    <w:rsid w:val="00B261F1"/>
    <w:rsid w:val="00B265BC"/>
    <w:rsid w:val="00B31FB1"/>
    <w:rsid w:val="00B33952"/>
    <w:rsid w:val="00B33C5E"/>
    <w:rsid w:val="00B342F4"/>
    <w:rsid w:val="00B34369"/>
    <w:rsid w:val="00B34DC2"/>
    <w:rsid w:val="00B378E5"/>
    <w:rsid w:val="00B4346D"/>
    <w:rsid w:val="00B440F4"/>
    <w:rsid w:val="00B44432"/>
    <w:rsid w:val="00B447A5"/>
    <w:rsid w:val="00B4654C"/>
    <w:rsid w:val="00B47293"/>
    <w:rsid w:val="00B50E50"/>
    <w:rsid w:val="00B52120"/>
    <w:rsid w:val="00B54ABC"/>
    <w:rsid w:val="00B56FBE"/>
    <w:rsid w:val="00B62B58"/>
    <w:rsid w:val="00B65149"/>
    <w:rsid w:val="00B66567"/>
    <w:rsid w:val="00B66F52"/>
    <w:rsid w:val="00B66FE5"/>
    <w:rsid w:val="00B72880"/>
    <w:rsid w:val="00B730AA"/>
    <w:rsid w:val="00B758BF"/>
    <w:rsid w:val="00B827A6"/>
    <w:rsid w:val="00B831CE"/>
    <w:rsid w:val="00B8466D"/>
    <w:rsid w:val="00B86677"/>
    <w:rsid w:val="00B87131"/>
    <w:rsid w:val="00B939B1"/>
    <w:rsid w:val="00B96D40"/>
    <w:rsid w:val="00B97386"/>
    <w:rsid w:val="00B978DB"/>
    <w:rsid w:val="00BA263B"/>
    <w:rsid w:val="00BA42B2"/>
    <w:rsid w:val="00BA58D4"/>
    <w:rsid w:val="00BA5B9E"/>
    <w:rsid w:val="00BA7C9A"/>
    <w:rsid w:val="00BB5F8F"/>
    <w:rsid w:val="00BB657A"/>
    <w:rsid w:val="00BC1A4E"/>
    <w:rsid w:val="00BC4CAB"/>
    <w:rsid w:val="00BC5DC7"/>
    <w:rsid w:val="00BC6B41"/>
    <w:rsid w:val="00BC6B8B"/>
    <w:rsid w:val="00BC73D8"/>
    <w:rsid w:val="00BD52D7"/>
    <w:rsid w:val="00BD58AC"/>
    <w:rsid w:val="00BD5AD2"/>
    <w:rsid w:val="00BE22F3"/>
    <w:rsid w:val="00BE32EC"/>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3319"/>
    <w:rsid w:val="00C13EE9"/>
    <w:rsid w:val="00C21540"/>
    <w:rsid w:val="00C21906"/>
    <w:rsid w:val="00C21BFA"/>
    <w:rsid w:val="00C24C8D"/>
    <w:rsid w:val="00C25FE2"/>
    <w:rsid w:val="00C260F4"/>
    <w:rsid w:val="00C26B53"/>
    <w:rsid w:val="00C279B2"/>
    <w:rsid w:val="00C33E50"/>
    <w:rsid w:val="00C34C20"/>
    <w:rsid w:val="00C35A3E"/>
    <w:rsid w:val="00C42130"/>
    <w:rsid w:val="00C423A4"/>
    <w:rsid w:val="00C44BF5"/>
    <w:rsid w:val="00C44CD6"/>
    <w:rsid w:val="00C521D6"/>
    <w:rsid w:val="00C55232"/>
    <w:rsid w:val="00C553A4"/>
    <w:rsid w:val="00C55974"/>
    <w:rsid w:val="00C55A06"/>
    <w:rsid w:val="00C55D03"/>
    <w:rsid w:val="00C601BC"/>
    <w:rsid w:val="00C610DC"/>
    <w:rsid w:val="00C6329F"/>
    <w:rsid w:val="00C63340"/>
    <w:rsid w:val="00C643F9"/>
    <w:rsid w:val="00C64E95"/>
    <w:rsid w:val="00C71372"/>
    <w:rsid w:val="00C72410"/>
    <w:rsid w:val="00C7287F"/>
    <w:rsid w:val="00C74401"/>
    <w:rsid w:val="00C75557"/>
    <w:rsid w:val="00C77EA5"/>
    <w:rsid w:val="00C80B9B"/>
    <w:rsid w:val="00C80CB8"/>
    <w:rsid w:val="00C819F8"/>
    <w:rsid w:val="00C8248C"/>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71A"/>
    <w:rsid w:val="00CB2C0B"/>
    <w:rsid w:val="00CB517D"/>
    <w:rsid w:val="00CC038D"/>
    <w:rsid w:val="00CC39FF"/>
    <w:rsid w:val="00CC3C2F"/>
    <w:rsid w:val="00CC4AC8"/>
    <w:rsid w:val="00CC5233"/>
    <w:rsid w:val="00CC5DE6"/>
    <w:rsid w:val="00CC6E4E"/>
    <w:rsid w:val="00CC6FE8"/>
    <w:rsid w:val="00CC7202"/>
    <w:rsid w:val="00CD1B4B"/>
    <w:rsid w:val="00CD2808"/>
    <w:rsid w:val="00CD28BF"/>
    <w:rsid w:val="00CD4092"/>
    <w:rsid w:val="00CD4A20"/>
    <w:rsid w:val="00CD50A1"/>
    <w:rsid w:val="00CD519E"/>
    <w:rsid w:val="00CD5EEF"/>
    <w:rsid w:val="00CE0C4F"/>
    <w:rsid w:val="00CE30EA"/>
    <w:rsid w:val="00CF048A"/>
    <w:rsid w:val="00CF155A"/>
    <w:rsid w:val="00CF2947"/>
    <w:rsid w:val="00CF4E76"/>
    <w:rsid w:val="00CF6793"/>
    <w:rsid w:val="00CF686F"/>
    <w:rsid w:val="00CF6E60"/>
    <w:rsid w:val="00CF7BCA"/>
    <w:rsid w:val="00D008FD"/>
    <w:rsid w:val="00D0321C"/>
    <w:rsid w:val="00D035EC"/>
    <w:rsid w:val="00D05FEA"/>
    <w:rsid w:val="00D06AB1"/>
    <w:rsid w:val="00D072ED"/>
    <w:rsid w:val="00D07A16"/>
    <w:rsid w:val="00D1067E"/>
    <w:rsid w:val="00D10F50"/>
    <w:rsid w:val="00D11272"/>
    <w:rsid w:val="00D11A31"/>
    <w:rsid w:val="00D126F5"/>
    <w:rsid w:val="00D1489E"/>
    <w:rsid w:val="00D20737"/>
    <w:rsid w:val="00D21E81"/>
    <w:rsid w:val="00D223DE"/>
    <w:rsid w:val="00D25E37"/>
    <w:rsid w:val="00D2661A"/>
    <w:rsid w:val="00D27582"/>
    <w:rsid w:val="00D32719"/>
    <w:rsid w:val="00D32E18"/>
    <w:rsid w:val="00D33333"/>
    <w:rsid w:val="00D34CB7"/>
    <w:rsid w:val="00D352A2"/>
    <w:rsid w:val="00D4162B"/>
    <w:rsid w:val="00D4514F"/>
    <w:rsid w:val="00D451E2"/>
    <w:rsid w:val="00D45E89"/>
    <w:rsid w:val="00D45E8D"/>
    <w:rsid w:val="00D466AE"/>
    <w:rsid w:val="00D4734F"/>
    <w:rsid w:val="00D50BE4"/>
    <w:rsid w:val="00D51BF3"/>
    <w:rsid w:val="00D5487B"/>
    <w:rsid w:val="00D54B98"/>
    <w:rsid w:val="00D56A32"/>
    <w:rsid w:val="00D56D85"/>
    <w:rsid w:val="00D6329B"/>
    <w:rsid w:val="00D66846"/>
    <w:rsid w:val="00D675FB"/>
    <w:rsid w:val="00D71F25"/>
    <w:rsid w:val="00D77031"/>
    <w:rsid w:val="00D81136"/>
    <w:rsid w:val="00D81A28"/>
    <w:rsid w:val="00D84941"/>
    <w:rsid w:val="00D84FA1"/>
    <w:rsid w:val="00D851F0"/>
    <w:rsid w:val="00D86DB7"/>
    <w:rsid w:val="00D9060C"/>
    <w:rsid w:val="00D926D0"/>
    <w:rsid w:val="00D93030"/>
    <w:rsid w:val="00D946E5"/>
    <w:rsid w:val="00D950E1"/>
    <w:rsid w:val="00D952A6"/>
    <w:rsid w:val="00D97F99"/>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342"/>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10"/>
    <w:rsid w:val="00E01138"/>
    <w:rsid w:val="00E02DFB"/>
    <w:rsid w:val="00E030F9"/>
    <w:rsid w:val="00E0311A"/>
    <w:rsid w:val="00E03138"/>
    <w:rsid w:val="00E06404"/>
    <w:rsid w:val="00E07741"/>
    <w:rsid w:val="00E11A85"/>
    <w:rsid w:val="00E12495"/>
    <w:rsid w:val="00E13EB2"/>
    <w:rsid w:val="00E15CCD"/>
    <w:rsid w:val="00E15D9E"/>
    <w:rsid w:val="00E202EF"/>
    <w:rsid w:val="00E210B5"/>
    <w:rsid w:val="00E2552F"/>
    <w:rsid w:val="00E30EA2"/>
    <w:rsid w:val="00E3137A"/>
    <w:rsid w:val="00E32213"/>
    <w:rsid w:val="00E32CCF"/>
    <w:rsid w:val="00E33542"/>
    <w:rsid w:val="00E34A98"/>
    <w:rsid w:val="00E35D1E"/>
    <w:rsid w:val="00E364F9"/>
    <w:rsid w:val="00E365FA"/>
    <w:rsid w:val="00E36789"/>
    <w:rsid w:val="00E43AA4"/>
    <w:rsid w:val="00E44A83"/>
    <w:rsid w:val="00E502C1"/>
    <w:rsid w:val="00E502DD"/>
    <w:rsid w:val="00E50D3A"/>
    <w:rsid w:val="00E51387"/>
    <w:rsid w:val="00E51E68"/>
    <w:rsid w:val="00E52EFD"/>
    <w:rsid w:val="00E5408A"/>
    <w:rsid w:val="00E56800"/>
    <w:rsid w:val="00E57492"/>
    <w:rsid w:val="00E62FF9"/>
    <w:rsid w:val="00E632AD"/>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0E60"/>
    <w:rsid w:val="00E9311F"/>
    <w:rsid w:val="00E934D1"/>
    <w:rsid w:val="00E94AF0"/>
    <w:rsid w:val="00E95D13"/>
    <w:rsid w:val="00E95DD3"/>
    <w:rsid w:val="00E969D5"/>
    <w:rsid w:val="00EA58D1"/>
    <w:rsid w:val="00EA61BC"/>
    <w:rsid w:val="00EA681A"/>
    <w:rsid w:val="00EA735B"/>
    <w:rsid w:val="00EB0596"/>
    <w:rsid w:val="00EB07E8"/>
    <w:rsid w:val="00EB1E69"/>
    <w:rsid w:val="00EB2086"/>
    <w:rsid w:val="00EB5EDF"/>
    <w:rsid w:val="00EB60FE"/>
    <w:rsid w:val="00EB74DB"/>
    <w:rsid w:val="00EC5359"/>
    <w:rsid w:val="00EC562A"/>
    <w:rsid w:val="00ED067A"/>
    <w:rsid w:val="00ED2B50"/>
    <w:rsid w:val="00ED3302"/>
    <w:rsid w:val="00EE0350"/>
    <w:rsid w:val="00EE0719"/>
    <w:rsid w:val="00EE0E80"/>
    <w:rsid w:val="00EE613F"/>
    <w:rsid w:val="00EE6662"/>
    <w:rsid w:val="00EE7295"/>
    <w:rsid w:val="00EE7869"/>
    <w:rsid w:val="00EF054A"/>
    <w:rsid w:val="00EF3235"/>
    <w:rsid w:val="00EF7E72"/>
    <w:rsid w:val="00F01542"/>
    <w:rsid w:val="00F04720"/>
    <w:rsid w:val="00F060DB"/>
    <w:rsid w:val="00F06D37"/>
    <w:rsid w:val="00F07B9D"/>
    <w:rsid w:val="00F10926"/>
    <w:rsid w:val="00F11586"/>
    <w:rsid w:val="00F1183B"/>
    <w:rsid w:val="00F11C9F"/>
    <w:rsid w:val="00F12263"/>
    <w:rsid w:val="00F1409D"/>
    <w:rsid w:val="00F14214"/>
    <w:rsid w:val="00F157A9"/>
    <w:rsid w:val="00F25BB6"/>
    <w:rsid w:val="00F26B7E"/>
    <w:rsid w:val="00F27A3B"/>
    <w:rsid w:val="00F33817"/>
    <w:rsid w:val="00F3447F"/>
    <w:rsid w:val="00F367BF"/>
    <w:rsid w:val="00F406CB"/>
    <w:rsid w:val="00F420D5"/>
    <w:rsid w:val="00F42749"/>
    <w:rsid w:val="00F429B0"/>
    <w:rsid w:val="00F451EA"/>
    <w:rsid w:val="00F45447"/>
    <w:rsid w:val="00F456C6"/>
    <w:rsid w:val="00F4577B"/>
    <w:rsid w:val="00F46496"/>
    <w:rsid w:val="00F474D0"/>
    <w:rsid w:val="00F50179"/>
    <w:rsid w:val="00F55DAC"/>
    <w:rsid w:val="00F56511"/>
    <w:rsid w:val="00F606D4"/>
    <w:rsid w:val="00F6194E"/>
    <w:rsid w:val="00F623AC"/>
    <w:rsid w:val="00F6412A"/>
    <w:rsid w:val="00F65893"/>
    <w:rsid w:val="00F66A4A"/>
    <w:rsid w:val="00F71E22"/>
    <w:rsid w:val="00F72142"/>
    <w:rsid w:val="00F72AE7"/>
    <w:rsid w:val="00F77D98"/>
    <w:rsid w:val="00F80303"/>
    <w:rsid w:val="00F828EC"/>
    <w:rsid w:val="00F833BA"/>
    <w:rsid w:val="00F84FD0"/>
    <w:rsid w:val="00F859A8"/>
    <w:rsid w:val="00F87A04"/>
    <w:rsid w:val="00F9108B"/>
    <w:rsid w:val="00F91349"/>
    <w:rsid w:val="00F9308D"/>
    <w:rsid w:val="00F9345B"/>
    <w:rsid w:val="00F93A8A"/>
    <w:rsid w:val="00F95248"/>
    <w:rsid w:val="00F956A9"/>
    <w:rsid w:val="00F95896"/>
    <w:rsid w:val="00F963ED"/>
    <w:rsid w:val="00F966CF"/>
    <w:rsid w:val="00F96CAE"/>
    <w:rsid w:val="00F97C99"/>
    <w:rsid w:val="00FA2BFD"/>
    <w:rsid w:val="00FA662D"/>
    <w:rsid w:val="00FA6730"/>
    <w:rsid w:val="00FA73B1"/>
    <w:rsid w:val="00FB0CB9"/>
    <w:rsid w:val="00FB2D1F"/>
    <w:rsid w:val="00FB45F1"/>
    <w:rsid w:val="00FB4A72"/>
    <w:rsid w:val="00FB54E8"/>
    <w:rsid w:val="00FB7054"/>
    <w:rsid w:val="00FC17B7"/>
    <w:rsid w:val="00FC2CB7"/>
    <w:rsid w:val="00FC2FE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273"/>
    <w:rsid w:val="00FF730C"/>
    <w:rsid w:val="00FF73F4"/>
    <w:rsid w:val="00FF7CE4"/>
    <w:rsid w:val="00FF7E39"/>
    <w:rsid w:val="06D70AB9"/>
    <w:rsid w:val="10D31003"/>
    <w:rsid w:val="14174F7F"/>
    <w:rsid w:val="15244865"/>
    <w:rsid w:val="18EA28E8"/>
    <w:rsid w:val="1AD627B6"/>
    <w:rsid w:val="1E9300EB"/>
    <w:rsid w:val="1EC12DAE"/>
    <w:rsid w:val="23FE1052"/>
    <w:rsid w:val="24634891"/>
    <w:rsid w:val="24EE9F5A"/>
    <w:rsid w:val="2EEF44AE"/>
    <w:rsid w:val="2FA906F4"/>
    <w:rsid w:val="33BFCF45"/>
    <w:rsid w:val="359F9415"/>
    <w:rsid w:val="37F34C70"/>
    <w:rsid w:val="3FBBEE74"/>
    <w:rsid w:val="408E1E94"/>
    <w:rsid w:val="4A070FE9"/>
    <w:rsid w:val="4E57223E"/>
    <w:rsid w:val="504638F8"/>
    <w:rsid w:val="5056539A"/>
    <w:rsid w:val="59E9326C"/>
    <w:rsid w:val="5ADF33BB"/>
    <w:rsid w:val="5BD536BE"/>
    <w:rsid w:val="62816079"/>
    <w:rsid w:val="632B2213"/>
    <w:rsid w:val="67D6C04A"/>
    <w:rsid w:val="69D34AE8"/>
    <w:rsid w:val="6CB126E3"/>
    <w:rsid w:val="6D17723D"/>
    <w:rsid w:val="723A57F7"/>
    <w:rsid w:val="73C318B2"/>
    <w:rsid w:val="75E24C3E"/>
    <w:rsid w:val="78A03428"/>
    <w:rsid w:val="78DA19C1"/>
    <w:rsid w:val="7CDE2858"/>
    <w:rsid w:val="7FB7FB00"/>
    <w:rsid w:val="7FEFCEB5"/>
    <w:rsid w:val="9FF0558E"/>
    <w:rsid w:val="AFBB0508"/>
    <w:rsid w:val="BCBCC0F3"/>
    <w:rsid w:val="D17EBCD5"/>
    <w:rsid w:val="DDFF4E6A"/>
    <w:rsid w:val="E7B70168"/>
    <w:rsid w:val="EADECBB4"/>
    <w:rsid w:val="EF3F3740"/>
    <w:rsid w:val="FD7776B7"/>
    <w:rsid w:val="FE7F34E4"/>
    <w:rsid w:val="FEAE7D1F"/>
    <w:rsid w:val="FEAEADD7"/>
    <w:rsid w:val="FF3DC7F9"/>
    <w:rsid w:val="FFE9212A"/>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vAnchor="page" w:hAnchor="page" w:x="1419" w:y="14097"/>
    </w:pPr>
  </w:style>
  <w:style w:type="paragraph" w:customStyle="1" w:styleId="196">
    <w:name w:val="其他实施日期"/>
    <w:basedOn w:val="156"/>
    <w:qFormat/>
    <w:uiPriority w:val="0"/>
    <w:pPr>
      <w:framePr w:w="3997" w:h="471" w:hRule="exact" w:vSpace="181"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paragraph" w:customStyle="1" w:styleId="232">
    <w:name w:val="修订1"/>
    <w:hidden/>
    <w:unhideWhenUsed/>
    <w:qFormat/>
    <w:uiPriority w:val="99"/>
    <w:rPr>
      <w:rFonts w:ascii="Calibri" w:hAnsi="Calibri" w:eastAsia="宋体" w:cs="Times New Roman"/>
      <w:kern w:val="2"/>
      <w:sz w:val="21"/>
      <w:szCs w:val="21"/>
      <w:lang w:val="en-US" w:eastAsia="zh-CN" w:bidi="ar-SA"/>
    </w:rPr>
  </w:style>
  <w:style w:type="paragraph" w:customStyle="1" w:styleId="233">
    <w:name w:val="修订2"/>
    <w:hidden/>
    <w:unhideWhenUsed/>
    <w:qFormat/>
    <w:uiPriority w:val="99"/>
    <w:rPr>
      <w:rFonts w:ascii="Calibri" w:hAnsi="Calibri" w:eastAsia="宋体" w:cs="Times New Roman"/>
      <w:kern w:val="2"/>
      <w:sz w:val="21"/>
      <w:szCs w:val="21"/>
      <w:lang w:val="en-US" w:eastAsia="zh-CN" w:bidi="ar-SA"/>
    </w:rPr>
  </w:style>
  <w:style w:type="paragraph" w:customStyle="1" w:styleId="234">
    <w:name w:val="修订3"/>
    <w:hidden/>
    <w:unhideWhenUsed/>
    <w:qFormat/>
    <w:uiPriority w:val="99"/>
    <w:rPr>
      <w:rFonts w:ascii="Calibri" w:hAnsi="Calibri" w:eastAsia="宋体" w:cs="Times New Roman"/>
      <w:kern w:val="2"/>
      <w:sz w:val="21"/>
      <w:szCs w:val="21"/>
      <w:lang w:val="en-US" w:eastAsia="zh-CN" w:bidi="ar-SA"/>
    </w:rPr>
  </w:style>
  <w:style w:type="character" w:customStyle="1" w:styleId="235">
    <w:name w:val="Unresolved Mention"/>
    <w:basedOn w:val="2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6.jpe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614444AE0C7498F92D06EF6ACCBC52F"/>
        <w:style w:val=""/>
        <w:category>
          <w:name w:val="常规"/>
          <w:gallery w:val="placeholder"/>
        </w:category>
        <w:types>
          <w:type w:val="bbPlcHdr"/>
        </w:types>
        <w:behaviors>
          <w:behavior w:val="content"/>
        </w:behaviors>
        <w:description w:val=""/>
        <w:guid w:val="{475833BC-C570-4960-9E07-843F8C11B7E0}"/>
      </w:docPartPr>
      <w:docPartBody>
        <w:p>
          <w:pPr>
            <w:pStyle w:val="5"/>
            <w:rPr>
              <w:rFonts w:hint="eastAsia"/>
            </w:rPr>
          </w:pPr>
          <w:r>
            <w:rPr>
              <w:rStyle w:val="4"/>
              <w:rFonts w:hint="eastAsia"/>
            </w:rPr>
            <w:t>单击或点击此处输入文字。</w:t>
          </w:r>
        </w:p>
      </w:docPartBody>
    </w:docPart>
    <w:docPart>
      <w:docPartPr>
        <w:name w:val="80C3CAAEA1D84B1FBBD3C4B4AF2A1312"/>
        <w:style w:val=""/>
        <w:category>
          <w:name w:val="常规"/>
          <w:gallery w:val="placeholder"/>
        </w:category>
        <w:types>
          <w:type w:val="bbPlcHdr"/>
        </w:types>
        <w:behaviors>
          <w:behavior w:val="content"/>
        </w:behaviors>
        <w:description w:val=""/>
        <w:guid w:val="{F78088BC-EB60-4CF1-81C7-32B00223A266}"/>
      </w:docPartPr>
      <w:docPartBody>
        <w:p>
          <w:pPr>
            <w:pStyle w:val="6"/>
            <w:rPr>
              <w:rFonts w:hint="eastAsia"/>
            </w:rPr>
          </w:pPr>
          <w:r>
            <w:rPr>
              <w:rStyle w:val="4"/>
              <w:rFonts w:hint="eastAsia"/>
            </w:rPr>
            <w:t>选择一项。</w:t>
          </w:r>
        </w:p>
      </w:docPartBody>
    </w:docPart>
    <w:docPart>
      <w:docPartPr>
        <w:name w:val="ABDE95CC34D240889060C4F172267D5D"/>
        <w:style w:val=""/>
        <w:category>
          <w:name w:val="常规"/>
          <w:gallery w:val="placeholder"/>
        </w:category>
        <w:types>
          <w:type w:val="bbPlcHdr"/>
        </w:types>
        <w:behaviors>
          <w:behavior w:val="content"/>
        </w:behaviors>
        <w:description w:val=""/>
        <w:guid w:val="{E2FE4C0E-2B59-4B5A-8095-A2D94D967EB7}"/>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Nimbus Roman No9 L"/>
    <w:panose1 w:val="00000000000000000000"/>
    <w:charset w:val="00"/>
    <w:family w:val="auto"/>
    <w:pitch w:val="default"/>
    <w:sig w:usb0="00000000" w:usb1="00000000" w:usb2="00000000" w:usb3="00000000" w:csb0="00000000" w:csb1="00000000"/>
  </w:font>
  <w:font w:name="等线">
    <w:altName w:val="华文仿宋"/>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76C"/>
    <w:rsid w:val="00044532"/>
    <w:rsid w:val="00086DDF"/>
    <w:rsid w:val="000963EF"/>
    <w:rsid w:val="000D6F41"/>
    <w:rsid w:val="00173606"/>
    <w:rsid w:val="001856F4"/>
    <w:rsid w:val="001B4C4A"/>
    <w:rsid w:val="001B57A8"/>
    <w:rsid w:val="001F5A0F"/>
    <w:rsid w:val="00255938"/>
    <w:rsid w:val="002B4B90"/>
    <w:rsid w:val="003D3B3C"/>
    <w:rsid w:val="003E27F9"/>
    <w:rsid w:val="0040208D"/>
    <w:rsid w:val="00432740"/>
    <w:rsid w:val="00470677"/>
    <w:rsid w:val="00492C08"/>
    <w:rsid w:val="004A4AF5"/>
    <w:rsid w:val="004A70FA"/>
    <w:rsid w:val="004B2307"/>
    <w:rsid w:val="0050710F"/>
    <w:rsid w:val="00583A2C"/>
    <w:rsid w:val="006713CC"/>
    <w:rsid w:val="0068202A"/>
    <w:rsid w:val="006A03A2"/>
    <w:rsid w:val="006A3365"/>
    <w:rsid w:val="00706596"/>
    <w:rsid w:val="0074676C"/>
    <w:rsid w:val="007E70F5"/>
    <w:rsid w:val="00827C89"/>
    <w:rsid w:val="00877654"/>
    <w:rsid w:val="00913826"/>
    <w:rsid w:val="00963FF6"/>
    <w:rsid w:val="009701E0"/>
    <w:rsid w:val="00985243"/>
    <w:rsid w:val="00997440"/>
    <w:rsid w:val="00AA6925"/>
    <w:rsid w:val="00BA2237"/>
    <w:rsid w:val="00BC2FC0"/>
    <w:rsid w:val="00C44CD6"/>
    <w:rsid w:val="00CC2B38"/>
    <w:rsid w:val="00CC3077"/>
    <w:rsid w:val="00D32E18"/>
    <w:rsid w:val="00DD1E47"/>
    <w:rsid w:val="00EE2C34"/>
    <w:rsid w:val="00EF3425"/>
    <w:rsid w:val="00F02330"/>
    <w:rsid w:val="00F50F6F"/>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614444AE0C7498F92D06EF6ACCBC52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0C3CAAEA1D84B1FBBD3C4B4AF2A13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BDE95CC34D240889060C4F172267D5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11</Pages>
  <Words>3061</Words>
  <Characters>3460</Characters>
  <Lines>203</Lines>
  <Paragraphs>260</Paragraphs>
  <TotalTime>13</TotalTime>
  <ScaleCrop>false</ScaleCrop>
  <LinksUpToDate>false</LinksUpToDate>
  <CharactersWithSpaces>6261</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2025-06-05T07:18:00Z</dcterms:created>
  <dc:creator>hai'xing</dc:creator>
  <dc:description>&lt;config cover="true" show_menu="true" version="1.0.0" doctype="SDKXY"&gt;_x000d_
&lt;/config&gt;</dc:description>
  <cp:lastModifiedBy>wangzhiwei</cp:lastModifiedBy>
  <cp:lastPrinted>2023-11-02T09:22:00Z</cp:lastPrinted>
  <dcterms:modified xsi:type="dcterms:W3CDTF">2025-06-24T10:28:19Z</dcterms:modified>
  <dc:title>行业标准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2052-11.8.2.10125</vt:lpwstr>
  </property>
  <property fmtid="{D5CDD505-2E9C-101B-9397-08002B2CF9AE}" pid="15" name="ICV">
    <vt:lpwstr>35072B94956F45BCAD6FFF719D5FE6AB_13</vt:lpwstr>
  </property>
  <property fmtid="{D5CDD505-2E9C-101B-9397-08002B2CF9AE}" pid="16" name="KSOTemplateDocerSaveRecord">
    <vt:lpwstr>eyJoZGlkIjoiYmM4MjMzMzFmZTIyZTM0NmFmODk4OTQ1MzE0OWZhZDIiLCJ1c2VySWQiOiIxMTIzNzk5NDE5In0=</vt:lpwstr>
  </property>
</Properties>
</file>